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92" w:rsidRDefault="00A611A3" w:rsidP="00742CBE">
      <w:pPr>
        <w:ind w:hanging="5"/>
        <w:jc w:val="center"/>
      </w:pPr>
      <w:r w:rsidRPr="0019670E">
        <w:rPr>
          <w:rFonts w:ascii="Arial" w:hAnsi="Arial" w:cs="Arial"/>
          <w:b/>
          <w:bCs/>
          <w:noProof/>
          <w:color w:val="00526F"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B0C58F" wp14:editId="6397DB1C">
                <wp:simplePos x="0" y="0"/>
                <wp:positionH relativeFrom="page">
                  <wp:posOffset>-11875</wp:posOffset>
                </wp:positionH>
                <wp:positionV relativeFrom="page">
                  <wp:posOffset>-35626</wp:posOffset>
                </wp:positionV>
                <wp:extent cx="771525" cy="1879773"/>
                <wp:effectExtent l="0" t="0" r="9525" b="635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879773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8EAA9C" id="Rettangolo 33" o:spid="_x0000_s1026" style="position:absolute;margin-left:-.95pt;margin-top:-2.8pt;width:60.75pt;height:14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" fillcolor="#009fe3" stroked="f">
                <w10:wrap anchorx="page" anchory="page"/>
              </v:rect>
            </w:pict>
          </mc:Fallback>
        </mc:AlternateContent>
      </w:r>
      <w:r w:rsidR="00742CBE" w:rsidRPr="00742CBE">
        <w:rPr>
          <w:noProof/>
          <w:lang w:eastAsia="it-IT"/>
        </w:rPr>
        <w:drawing>
          <wp:inline distT="0" distB="0" distL="0" distR="0" wp14:anchorId="53BDAB0B" wp14:editId="2E57B816">
            <wp:extent cx="3532922" cy="1215027"/>
            <wp:effectExtent l="0" t="0" r="0" b="4445"/>
            <wp:docPr id="1" name="Immagine 1" descr="C:\Users\Windows_10\Documents\LAVORO\IFEL\Progettazione\LOGHI_FINANZA\LOGHI_FINANZA\IFEL_CRISI-FINANZIARIE\JPG\IFEL_CRISI-FINANZIA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_10\Documents\LAVORO\IFEL\Progettazione\LOGHI_FINANZA\LOGHI_FINANZA\IFEL_CRISI-FINANZIARIE\JPG\IFEL_CRISI-FINANZIAR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601" cy="12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292" w:rsidRDefault="00F55292" w:rsidP="00742CBE">
      <w:pPr>
        <w:ind w:hanging="5"/>
        <w:jc w:val="center"/>
      </w:pPr>
    </w:p>
    <w:p w:rsidR="0019670E" w:rsidRPr="002058D0" w:rsidRDefault="0019670E" w:rsidP="0019670E">
      <w:pPr>
        <w:ind w:hanging="5"/>
        <w:jc w:val="center"/>
        <w:rPr>
          <w:rFonts w:ascii="Arial" w:hAnsi="Arial" w:cs="Arial"/>
          <w:b/>
          <w:bCs/>
          <w:color w:val="00526F"/>
          <w:sz w:val="32"/>
          <w:szCs w:val="32"/>
        </w:rPr>
      </w:pPr>
      <w:r w:rsidRPr="002058D0">
        <w:rPr>
          <w:rFonts w:ascii="Arial" w:hAnsi="Arial" w:cs="Arial"/>
          <w:b/>
          <w:bCs/>
          <w:color w:val="00526F"/>
          <w:sz w:val="32"/>
          <w:szCs w:val="32"/>
        </w:rPr>
        <w:t>Presentazione progetto</w:t>
      </w:r>
      <w:r w:rsidR="002058D0" w:rsidRPr="002058D0">
        <w:rPr>
          <w:rFonts w:ascii="Arial" w:hAnsi="Arial" w:cs="Arial"/>
          <w:b/>
          <w:bCs/>
          <w:color w:val="00526F"/>
          <w:sz w:val="32"/>
          <w:szCs w:val="32"/>
        </w:rPr>
        <w:t xml:space="preserve"> IFEL</w:t>
      </w:r>
    </w:p>
    <w:p w:rsidR="0019670E" w:rsidRPr="0019670E" w:rsidRDefault="0019670E" w:rsidP="00F36CE5">
      <w:pPr>
        <w:ind w:hanging="5"/>
        <w:jc w:val="left"/>
        <w:rPr>
          <w:rFonts w:ascii="Arial" w:hAnsi="Arial" w:cs="Arial"/>
          <w:b/>
          <w:bCs/>
          <w:color w:val="00526F"/>
          <w:sz w:val="32"/>
          <w:szCs w:val="48"/>
        </w:rPr>
      </w:pPr>
    </w:p>
    <w:p w:rsidR="00F55292" w:rsidRPr="002058D0" w:rsidRDefault="00742CBE" w:rsidP="0019670E">
      <w:pPr>
        <w:ind w:hanging="5"/>
        <w:jc w:val="center"/>
        <w:rPr>
          <w:rFonts w:ascii="Arial" w:hAnsi="Arial" w:cs="Arial"/>
          <w:b/>
          <w:bCs/>
          <w:color w:val="00526F"/>
          <w:sz w:val="40"/>
          <w:szCs w:val="40"/>
        </w:rPr>
      </w:pPr>
      <w:r w:rsidRPr="002058D0">
        <w:rPr>
          <w:rFonts w:ascii="Arial" w:hAnsi="Arial" w:cs="Arial"/>
          <w:b/>
          <w:bCs/>
          <w:noProof/>
          <w:color w:val="00526F"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3DFDD4" wp14:editId="433FA60D">
                <wp:simplePos x="0" y="0"/>
                <wp:positionH relativeFrom="page">
                  <wp:posOffset>-8890</wp:posOffset>
                </wp:positionH>
                <wp:positionV relativeFrom="page">
                  <wp:posOffset>2630805</wp:posOffset>
                </wp:positionV>
                <wp:extent cx="771525" cy="8355965"/>
                <wp:effectExtent l="0" t="0" r="9525" b="6985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8355965"/>
                        </a:xfrm>
                        <a:prstGeom prst="rect">
                          <a:avLst/>
                        </a:prstGeom>
                        <a:solidFill>
                          <a:srgbClr val="025E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2D6405" id="Rettangolo 34" o:spid="_x0000_s1026" style="position:absolute;margin-left:-.7pt;margin-top:207.15pt;width:60.75pt;height:65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" fillcolor="#025e7d" stroked="f">
                <w10:wrap anchorx="page" anchory="page"/>
              </v:rect>
            </w:pict>
          </mc:Fallback>
        </mc:AlternateContent>
      </w:r>
      <w:r w:rsidR="002058D0" w:rsidRPr="002058D0">
        <w:rPr>
          <w:rFonts w:ascii="Arial" w:hAnsi="Arial" w:cs="Arial"/>
          <w:b/>
          <w:bCs/>
          <w:color w:val="00526F"/>
          <w:sz w:val="40"/>
          <w:szCs w:val="40"/>
        </w:rPr>
        <w:t>“</w:t>
      </w:r>
      <w:r w:rsidR="00F55292" w:rsidRPr="002058D0">
        <w:rPr>
          <w:rFonts w:ascii="Arial" w:hAnsi="Arial" w:cs="Arial"/>
          <w:b/>
          <w:bCs/>
          <w:i/>
          <w:color w:val="00526F"/>
          <w:sz w:val="40"/>
          <w:szCs w:val="40"/>
        </w:rPr>
        <w:t xml:space="preserve">Interventi </w:t>
      </w:r>
      <w:r w:rsidR="00F36CE5" w:rsidRPr="002058D0">
        <w:rPr>
          <w:rFonts w:ascii="Arial" w:hAnsi="Arial" w:cs="Arial"/>
          <w:b/>
          <w:bCs/>
          <w:i/>
          <w:color w:val="00526F"/>
          <w:sz w:val="40"/>
          <w:szCs w:val="40"/>
        </w:rPr>
        <w:t xml:space="preserve">di </w:t>
      </w:r>
      <w:r w:rsidR="00D15654" w:rsidRPr="002058D0">
        <w:rPr>
          <w:rFonts w:ascii="Arial" w:hAnsi="Arial" w:cs="Arial"/>
          <w:b/>
          <w:bCs/>
          <w:i/>
          <w:color w:val="00526F"/>
          <w:sz w:val="40"/>
          <w:szCs w:val="40"/>
        </w:rPr>
        <w:t>supporto e p</w:t>
      </w:r>
      <w:r w:rsidR="00F55292" w:rsidRPr="002058D0">
        <w:rPr>
          <w:rFonts w:ascii="Arial" w:hAnsi="Arial" w:cs="Arial"/>
          <w:b/>
          <w:bCs/>
          <w:i/>
          <w:color w:val="00526F"/>
          <w:sz w:val="40"/>
          <w:szCs w:val="40"/>
        </w:rPr>
        <w:t>revenzione delle crisi finanziarie</w:t>
      </w:r>
      <w:r w:rsidR="00D15654" w:rsidRPr="002058D0">
        <w:rPr>
          <w:rFonts w:ascii="Arial" w:hAnsi="Arial" w:cs="Arial"/>
          <w:b/>
          <w:bCs/>
          <w:i/>
          <w:color w:val="00526F"/>
          <w:sz w:val="40"/>
          <w:szCs w:val="40"/>
        </w:rPr>
        <w:t xml:space="preserve"> nei comuni</w:t>
      </w:r>
      <w:r w:rsidR="002058D0" w:rsidRPr="002058D0">
        <w:rPr>
          <w:rFonts w:ascii="Arial" w:hAnsi="Arial" w:cs="Arial"/>
          <w:b/>
          <w:bCs/>
          <w:color w:val="00526F"/>
          <w:sz w:val="40"/>
          <w:szCs w:val="40"/>
        </w:rPr>
        <w:t>”</w:t>
      </w:r>
    </w:p>
    <w:p w:rsidR="00B25159" w:rsidRDefault="00B25159" w:rsidP="00F55292">
      <w:pPr>
        <w:ind w:hanging="5"/>
        <w:jc w:val="center"/>
      </w:pPr>
    </w:p>
    <w:p w:rsidR="004A3079" w:rsidRDefault="004A3079" w:rsidP="00577B18">
      <w:pPr>
        <w:spacing w:after="120"/>
        <w:ind w:left="567" w:firstLine="0"/>
        <w:rPr>
          <w:rFonts w:ascii="Arial" w:hAnsi="Arial" w:cs="Arial"/>
          <w:sz w:val="22"/>
        </w:rPr>
      </w:pPr>
    </w:p>
    <w:p w:rsidR="00016819" w:rsidRDefault="00016819" w:rsidP="00016819">
      <w:pPr>
        <w:spacing w:after="120"/>
        <w:ind w:left="567" w:firstLine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Messina, Sala delle Bandiere – Palazzo Zanca</w:t>
      </w:r>
    </w:p>
    <w:p w:rsidR="00016819" w:rsidRPr="00F36CE5" w:rsidRDefault="00016819" w:rsidP="00016819">
      <w:pPr>
        <w:spacing w:after="120"/>
        <w:ind w:left="567" w:firstLine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17 novembre 2021</w:t>
      </w:r>
      <w:r w:rsidR="008931CC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ore 9</w:t>
      </w:r>
      <w:r w:rsidR="008931CC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>30</w:t>
      </w:r>
    </w:p>
    <w:p w:rsidR="005C480C" w:rsidRDefault="005C480C" w:rsidP="00CB76DA">
      <w:pPr>
        <w:spacing w:after="120"/>
        <w:rPr>
          <w:rFonts w:ascii="Arial" w:hAnsi="Arial" w:cs="Arial"/>
          <w:sz w:val="22"/>
        </w:rPr>
      </w:pPr>
    </w:p>
    <w:p w:rsidR="005C480C" w:rsidRPr="005C480C" w:rsidRDefault="005C480C" w:rsidP="005C480C">
      <w:pPr>
        <w:spacing w:after="120"/>
        <w:ind w:left="567" w:firstLine="0"/>
        <w:rPr>
          <w:rFonts w:ascii="Arial" w:hAnsi="Arial" w:cs="Arial"/>
          <w:sz w:val="22"/>
        </w:rPr>
      </w:pPr>
      <w:r w:rsidRPr="005C480C">
        <w:rPr>
          <w:rFonts w:ascii="Arial" w:hAnsi="Arial" w:cs="Arial"/>
          <w:sz w:val="22"/>
        </w:rPr>
        <w:t>Nel corso del 2020 hanno attivato la procedura di riequilibrio finanziario o dichiarato il dissesto 55 Comuni (28 procedure di riequilibrio, di</w:t>
      </w:r>
      <w:r w:rsidR="004E6AB9">
        <w:rPr>
          <w:rFonts w:ascii="Arial" w:hAnsi="Arial" w:cs="Arial"/>
          <w:sz w:val="22"/>
        </w:rPr>
        <w:t xml:space="preserve"> cui 4 revocate, e 27 dissesti)</w:t>
      </w:r>
      <w:r w:rsidRPr="005C480C">
        <w:rPr>
          <w:rFonts w:ascii="Arial" w:hAnsi="Arial" w:cs="Arial"/>
          <w:sz w:val="22"/>
        </w:rPr>
        <w:t xml:space="preserve">; resta quindi rilevante il fenomeno </w:t>
      </w:r>
      <w:r w:rsidR="004E6AB9">
        <w:rPr>
          <w:rFonts w:ascii="Arial" w:hAnsi="Arial" w:cs="Arial"/>
          <w:sz w:val="22"/>
        </w:rPr>
        <w:t>delle criticità finanziarie, no</w:t>
      </w:r>
      <w:r w:rsidRPr="005C480C">
        <w:rPr>
          <w:rFonts w:ascii="Arial" w:hAnsi="Arial" w:cs="Arial"/>
          <w:sz w:val="22"/>
        </w:rPr>
        <w:t>nostante la sospensione di molti termini e l’immissione nel sistema dei Comuni di rilevanti risorse destinate a mitigare le difficoltà di bilancio.</w:t>
      </w:r>
    </w:p>
    <w:p w:rsidR="005C480C" w:rsidRPr="005C480C" w:rsidRDefault="005C480C" w:rsidP="005C480C">
      <w:pPr>
        <w:spacing w:after="120"/>
        <w:ind w:left="567" w:firstLine="0"/>
        <w:rPr>
          <w:rFonts w:ascii="Arial" w:hAnsi="Arial" w:cs="Arial"/>
          <w:sz w:val="22"/>
        </w:rPr>
      </w:pPr>
      <w:r w:rsidRPr="005C480C">
        <w:rPr>
          <w:rFonts w:ascii="Arial" w:hAnsi="Arial" w:cs="Arial"/>
          <w:sz w:val="22"/>
        </w:rPr>
        <w:t>Si registra comunque una riduzione dei casi r</w:t>
      </w:r>
      <w:r w:rsidR="004E6AB9">
        <w:rPr>
          <w:rFonts w:ascii="Arial" w:hAnsi="Arial" w:cs="Arial"/>
          <w:sz w:val="22"/>
        </w:rPr>
        <w:t>ispetto al 2019, in cui il feno</w:t>
      </w:r>
      <w:r w:rsidRPr="005C480C">
        <w:rPr>
          <w:rFonts w:ascii="Arial" w:hAnsi="Arial" w:cs="Arial"/>
          <w:sz w:val="22"/>
        </w:rPr>
        <w:t xml:space="preserve">meno aveva interessato 81 Comuni (34 dissesti e </w:t>
      </w:r>
      <w:r w:rsidR="004E6AB9">
        <w:rPr>
          <w:rFonts w:ascii="Arial" w:hAnsi="Arial" w:cs="Arial"/>
          <w:sz w:val="22"/>
        </w:rPr>
        <w:t>47 riequilibri, di cui 4 revoca</w:t>
      </w:r>
      <w:r w:rsidRPr="005C480C">
        <w:rPr>
          <w:rFonts w:ascii="Arial" w:hAnsi="Arial" w:cs="Arial"/>
          <w:sz w:val="22"/>
        </w:rPr>
        <w:t>ti), anche se, tenendo conto dell’impatto degli interventi normativi emergenziali intercorsi nel 2020, questa avrebbe dovuto essere, nelle attese, più consistente.</w:t>
      </w:r>
    </w:p>
    <w:p w:rsidR="005C480C" w:rsidRDefault="00121C14" w:rsidP="005C480C">
      <w:pPr>
        <w:spacing w:after="120"/>
        <w:ind w:left="56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C22D32" w:rsidRPr="005C480C">
        <w:rPr>
          <w:rFonts w:ascii="Arial" w:hAnsi="Arial" w:cs="Arial"/>
          <w:sz w:val="22"/>
        </w:rPr>
        <w:t xml:space="preserve"> sostegni accordati nella fase emergenziale possono aver prodotto l’effetto di tenere sotto controllo un fenomeno che, al rientro nella normalità, potrebbe riprendere con più ampia diffusione</w:t>
      </w:r>
      <w:r w:rsidR="00C22D32">
        <w:rPr>
          <w:rFonts w:ascii="Arial" w:hAnsi="Arial" w:cs="Arial"/>
          <w:sz w:val="22"/>
        </w:rPr>
        <w:t>. Vi è, quindi,</w:t>
      </w:r>
      <w:r w:rsidR="004E6AB9">
        <w:rPr>
          <w:rFonts w:ascii="Arial" w:hAnsi="Arial" w:cs="Arial"/>
          <w:sz w:val="22"/>
        </w:rPr>
        <w:t xml:space="preserve"> l’</w:t>
      </w:r>
      <w:r w:rsidR="005C480C" w:rsidRPr="005C480C">
        <w:rPr>
          <w:rFonts w:ascii="Arial" w:hAnsi="Arial" w:cs="Arial"/>
          <w:sz w:val="22"/>
        </w:rPr>
        <w:t>esigenza di prendere in conside</w:t>
      </w:r>
      <w:r w:rsidR="00C22D32">
        <w:rPr>
          <w:rFonts w:ascii="Arial" w:hAnsi="Arial" w:cs="Arial"/>
          <w:sz w:val="22"/>
        </w:rPr>
        <w:t xml:space="preserve">razione interventi, anche di natura strutturale, </w:t>
      </w:r>
      <w:r w:rsidR="005C480C" w:rsidRPr="005C480C">
        <w:rPr>
          <w:rFonts w:ascii="Arial" w:hAnsi="Arial" w:cs="Arial"/>
          <w:sz w:val="22"/>
        </w:rPr>
        <w:t>nella materia delle criticità finanziarie</w:t>
      </w:r>
      <w:r w:rsidR="00B47315">
        <w:rPr>
          <w:rFonts w:ascii="Arial" w:hAnsi="Arial" w:cs="Arial"/>
          <w:sz w:val="22"/>
        </w:rPr>
        <w:t>.</w:t>
      </w:r>
    </w:p>
    <w:p w:rsidR="008D2BA7" w:rsidRDefault="00384964" w:rsidP="005C480C">
      <w:pPr>
        <w:spacing w:after="120"/>
        <w:ind w:left="56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 linee di attività del progetto che IFEL, in collaborazione con l’Università Ca’ Foscari di Venezia, </w:t>
      </w:r>
      <w:r w:rsidR="008D2BA7">
        <w:rPr>
          <w:rFonts w:ascii="Arial" w:hAnsi="Arial" w:cs="Arial"/>
          <w:sz w:val="22"/>
        </w:rPr>
        <w:t>ha strutturato a supporto dei comuni italiani esposti a tensione finanziaria, si articolano in interventi formativi mirati, anche per classi di enti omogenei, e attività di consulenza m</w:t>
      </w:r>
      <w:r w:rsidR="00356387">
        <w:rPr>
          <w:rFonts w:ascii="Arial" w:hAnsi="Arial" w:cs="Arial"/>
          <w:sz w:val="22"/>
        </w:rPr>
        <w:t>ediante esperti, avvalendosi delle più avanzate ricerche e dati relativi al benessere finanziario degli enti locali.</w:t>
      </w:r>
    </w:p>
    <w:p w:rsidR="00121C14" w:rsidRDefault="00356387" w:rsidP="005C480C">
      <w:pPr>
        <w:spacing w:after="120"/>
        <w:ind w:left="56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Gli </w:t>
      </w:r>
      <w:r w:rsidR="00384964">
        <w:rPr>
          <w:rFonts w:ascii="Arial" w:hAnsi="Arial" w:cs="Arial"/>
          <w:sz w:val="22"/>
        </w:rPr>
        <w:t>obiettiv</w:t>
      </w:r>
      <w:r w:rsidR="00B03EC7">
        <w:rPr>
          <w:rFonts w:ascii="Arial" w:hAnsi="Arial" w:cs="Arial"/>
          <w:sz w:val="22"/>
        </w:rPr>
        <w:t>i</w:t>
      </w:r>
      <w:r w:rsidR="0038496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del progetto sono quelli </w:t>
      </w:r>
      <w:r w:rsidR="00384964">
        <w:rPr>
          <w:rFonts w:ascii="Arial" w:hAnsi="Arial" w:cs="Arial"/>
          <w:sz w:val="22"/>
        </w:rPr>
        <w:t>di:</w:t>
      </w:r>
    </w:p>
    <w:p w:rsidR="00384964" w:rsidRDefault="00193885" w:rsidP="00384964">
      <w:pPr>
        <w:pStyle w:val="Paragrafoelenco"/>
        <w:numPr>
          <w:ilvl w:val="0"/>
          <w:numId w:val="1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384964">
        <w:rPr>
          <w:rFonts w:ascii="Arial" w:hAnsi="Arial" w:cs="Arial"/>
          <w:sz w:val="22"/>
        </w:rPr>
        <w:t>afforzare le competenze sulla riforma contabile e gestione delle risorse;</w:t>
      </w:r>
    </w:p>
    <w:p w:rsidR="00384964" w:rsidRDefault="00356387" w:rsidP="00384964">
      <w:pPr>
        <w:pStyle w:val="Paragrafoelenco"/>
        <w:numPr>
          <w:ilvl w:val="0"/>
          <w:numId w:val="1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incentivare lo </w:t>
      </w:r>
      <w:r w:rsidR="00193885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viluppo</w:t>
      </w:r>
      <w:r w:rsidR="00384964">
        <w:rPr>
          <w:rFonts w:ascii="Arial" w:hAnsi="Arial" w:cs="Arial"/>
          <w:sz w:val="22"/>
        </w:rPr>
        <w:t xml:space="preserve"> delle energie dei territori</w:t>
      </w:r>
      <w:r>
        <w:rPr>
          <w:rFonts w:ascii="Arial" w:hAnsi="Arial" w:cs="Arial"/>
          <w:sz w:val="22"/>
        </w:rPr>
        <w:t>;</w:t>
      </w:r>
    </w:p>
    <w:p w:rsidR="00356387" w:rsidRDefault="00356387" w:rsidP="00384964">
      <w:pPr>
        <w:pStyle w:val="Paragrafoelenco"/>
        <w:numPr>
          <w:ilvl w:val="0"/>
          <w:numId w:val="1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diffondere lo scambio di buone pratiche</w:t>
      </w:r>
      <w:r w:rsidR="00CB76DA">
        <w:rPr>
          <w:rFonts w:ascii="Arial" w:hAnsi="Arial" w:cs="Arial"/>
          <w:sz w:val="22"/>
        </w:rPr>
        <w:t>;</w:t>
      </w:r>
    </w:p>
    <w:p w:rsidR="00CB76DA" w:rsidRPr="00384964" w:rsidRDefault="00CB76DA" w:rsidP="00384964">
      <w:pPr>
        <w:pStyle w:val="Paragrafoelenco"/>
        <w:numPr>
          <w:ilvl w:val="0"/>
          <w:numId w:val="1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valorizzare l’opportunità di gestioni associate.</w:t>
      </w:r>
      <w:bookmarkStart w:id="0" w:name="_GoBack"/>
      <w:bookmarkEnd w:id="0"/>
    </w:p>
    <w:p w:rsidR="00D05F6A" w:rsidRDefault="00D05F6A" w:rsidP="00577B18">
      <w:pPr>
        <w:spacing w:after="120"/>
        <w:ind w:left="567" w:firstLine="0"/>
        <w:rPr>
          <w:rFonts w:ascii="Arial" w:hAnsi="Arial" w:cs="Arial"/>
          <w:sz w:val="22"/>
          <w:u w:val="single"/>
        </w:rPr>
      </w:pPr>
    </w:p>
    <w:p w:rsidR="00E261EE" w:rsidRDefault="00E261EE" w:rsidP="00577B18">
      <w:pPr>
        <w:spacing w:after="120"/>
        <w:ind w:left="567" w:firstLine="0"/>
        <w:rPr>
          <w:rFonts w:ascii="Arial" w:hAnsi="Arial" w:cs="Arial"/>
          <w:sz w:val="22"/>
          <w:u w:val="single"/>
        </w:rPr>
      </w:pPr>
    </w:p>
    <w:p w:rsidR="00E261EE" w:rsidRDefault="00E261EE" w:rsidP="00577B18">
      <w:pPr>
        <w:spacing w:after="120"/>
        <w:ind w:left="567" w:firstLine="0"/>
        <w:rPr>
          <w:rFonts w:ascii="Arial" w:hAnsi="Arial" w:cs="Arial"/>
          <w:sz w:val="22"/>
          <w:u w:val="single"/>
        </w:rPr>
      </w:pPr>
    </w:p>
    <w:p w:rsidR="00442A14" w:rsidRDefault="00442A14" w:rsidP="00577B18">
      <w:pPr>
        <w:spacing w:after="120"/>
        <w:ind w:left="567" w:firstLine="0"/>
        <w:rPr>
          <w:rFonts w:ascii="Arial" w:hAnsi="Arial" w:cs="Arial"/>
          <w:sz w:val="22"/>
          <w:u w:val="single"/>
        </w:rPr>
      </w:pPr>
    </w:p>
    <w:p w:rsidR="00442A14" w:rsidRDefault="00442A14" w:rsidP="00577B18">
      <w:pPr>
        <w:spacing w:after="120"/>
        <w:ind w:left="567" w:firstLine="0"/>
        <w:rPr>
          <w:rFonts w:ascii="Arial" w:hAnsi="Arial" w:cs="Arial"/>
          <w:sz w:val="22"/>
          <w:u w:val="single"/>
        </w:rPr>
      </w:pPr>
    </w:p>
    <w:p w:rsidR="003E5755" w:rsidRPr="003E5755" w:rsidRDefault="00A611A3" w:rsidP="00577B18">
      <w:pPr>
        <w:spacing w:after="120"/>
        <w:ind w:left="567" w:firstLine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Programma dei l</w:t>
      </w:r>
      <w:r w:rsidR="003E5755">
        <w:rPr>
          <w:rFonts w:ascii="Arial" w:hAnsi="Arial" w:cs="Arial"/>
          <w:sz w:val="22"/>
          <w:u w:val="single"/>
        </w:rPr>
        <w:t>avori</w:t>
      </w:r>
    </w:p>
    <w:p w:rsidR="003E5755" w:rsidRDefault="003E5755" w:rsidP="00577B18">
      <w:pPr>
        <w:spacing w:after="120"/>
        <w:ind w:left="567" w:firstLine="0"/>
        <w:rPr>
          <w:rFonts w:ascii="Arial" w:hAnsi="Arial" w:cs="Arial"/>
          <w:i/>
          <w:sz w:val="22"/>
        </w:rPr>
      </w:pPr>
    </w:p>
    <w:p w:rsidR="009B0CFF" w:rsidRPr="00E16033" w:rsidRDefault="009B0CFF" w:rsidP="00577B18">
      <w:pPr>
        <w:spacing w:after="120"/>
        <w:ind w:left="567" w:firstLine="0"/>
        <w:rPr>
          <w:rFonts w:ascii="Arial" w:hAnsi="Arial" w:cs="Arial"/>
          <w:i/>
          <w:sz w:val="22"/>
        </w:rPr>
      </w:pPr>
      <w:r w:rsidRPr="00E16033">
        <w:rPr>
          <w:rFonts w:ascii="Arial" w:hAnsi="Arial" w:cs="Arial"/>
          <w:i/>
          <w:sz w:val="22"/>
        </w:rPr>
        <w:t>Saluti istituzionali</w:t>
      </w:r>
    </w:p>
    <w:p w:rsidR="00485991" w:rsidRDefault="005E5F50" w:rsidP="005D4000">
      <w:pPr>
        <w:spacing w:after="120"/>
        <w:ind w:left="567" w:firstLine="141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Cateno De Luca</w:t>
      </w:r>
      <w:r w:rsidR="00E16033" w:rsidRPr="009B0CFF">
        <w:rPr>
          <w:rFonts w:ascii="Arial" w:hAnsi="Arial" w:cs="Arial"/>
          <w:sz w:val="22"/>
        </w:rPr>
        <w:t xml:space="preserve">, </w:t>
      </w:r>
      <w:r w:rsidR="00485991">
        <w:rPr>
          <w:rFonts w:ascii="Arial" w:hAnsi="Arial" w:cs="Arial"/>
          <w:sz w:val="22"/>
        </w:rPr>
        <w:t xml:space="preserve">Sindaco </w:t>
      </w:r>
      <w:r>
        <w:rPr>
          <w:rFonts w:ascii="Arial" w:hAnsi="Arial" w:cs="Arial"/>
          <w:sz w:val="22"/>
        </w:rPr>
        <w:t>di Messina</w:t>
      </w:r>
    </w:p>
    <w:p w:rsidR="00E16033" w:rsidRPr="00485991" w:rsidRDefault="00E16033" w:rsidP="00A611A3">
      <w:pPr>
        <w:spacing w:after="120"/>
        <w:ind w:left="708" w:firstLine="0"/>
        <w:rPr>
          <w:rFonts w:ascii="Arial" w:hAnsi="Arial" w:cs="Arial"/>
          <w:sz w:val="22"/>
        </w:rPr>
      </w:pPr>
      <w:r w:rsidRPr="00485991">
        <w:rPr>
          <w:rFonts w:ascii="Arial" w:hAnsi="Arial" w:cs="Arial"/>
          <w:b/>
          <w:sz w:val="22"/>
        </w:rPr>
        <w:t>Stefano Campostrini</w:t>
      </w:r>
      <w:r w:rsidRPr="00485991">
        <w:rPr>
          <w:rFonts w:ascii="Arial" w:hAnsi="Arial" w:cs="Arial"/>
          <w:sz w:val="22"/>
        </w:rPr>
        <w:t>, Direttore Centro Governance and Social Innovation, Università Ca’ Foscari di Venezia</w:t>
      </w:r>
    </w:p>
    <w:p w:rsidR="009B0CFF" w:rsidRDefault="009B0CFF" w:rsidP="00577B18">
      <w:pPr>
        <w:spacing w:after="120"/>
        <w:ind w:left="567" w:firstLine="0"/>
        <w:rPr>
          <w:rFonts w:ascii="Arial" w:hAnsi="Arial" w:cs="Arial"/>
          <w:sz w:val="22"/>
        </w:rPr>
      </w:pPr>
    </w:p>
    <w:p w:rsidR="00E16033" w:rsidRPr="00E16033" w:rsidRDefault="00E16033" w:rsidP="00577B18">
      <w:pPr>
        <w:spacing w:after="120"/>
        <w:ind w:left="567" w:firstLine="0"/>
        <w:rPr>
          <w:rFonts w:ascii="Arial" w:hAnsi="Arial" w:cs="Arial"/>
          <w:i/>
          <w:sz w:val="22"/>
        </w:rPr>
      </w:pPr>
      <w:r w:rsidRPr="00E16033">
        <w:rPr>
          <w:rFonts w:ascii="Arial" w:hAnsi="Arial" w:cs="Arial"/>
          <w:i/>
          <w:sz w:val="22"/>
        </w:rPr>
        <w:t>Presentazione del progetto</w:t>
      </w:r>
      <w:r w:rsidR="00485991">
        <w:rPr>
          <w:rFonts w:ascii="Arial" w:hAnsi="Arial" w:cs="Arial"/>
          <w:i/>
          <w:sz w:val="22"/>
        </w:rPr>
        <w:t xml:space="preserve"> IFEL</w:t>
      </w:r>
      <w:r w:rsidRPr="00E16033">
        <w:rPr>
          <w:rFonts w:ascii="Arial" w:hAnsi="Arial" w:cs="Arial"/>
          <w:i/>
          <w:sz w:val="22"/>
        </w:rPr>
        <w:t xml:space="preserve"> a cura di </w:t>
      </w:r>
    </w:p>
    <w:p w:rsidR="00E16033" w:rsidRDefault="00E16033" w:rsidP="00A611A3">
      <w:pPr>
        <w:spacing w:after="120"/>
        <w:ind w:left="567" w:firstLine="141"/>
        <w:rPr>
          <w:rFonts w:ascii="Arial" w:hAnsi="Arial" w:cs="Arial"/>
          <w:sz w:val="22"/>
        </w:rPr>
      </w:pPr>
      <w:r w:rsidRPr="00D915A9">
        <w:rPr>
          <w:rFonts w:ascii="Arial" w:hAnsi="Arial" w:cs="Arial"/>
          <w:b/>
          <w:sz w:val="22"/>
        </w:rPr>
        <w:t>Andrea Ferri</w:t>
      </w:r>
      <w:r w:rsidRPr="009B0CFF">
        <w:rPr>
          <w:rFonts w:ascii="Arial" w:hAnsi="Arial" w:cs="Arial"/>
          <w:sz w:val="22"/>
        </w:rPr>
        <w:t>, Responsabile Finanza Locale ANCI/IFEL</w:t>
      </w:r>
    </w:p>
    <w:p w:rsidR="009B0CFF" w:rsidRDefault="00190B9D" w:rsidP="00577B18">
      <w:pPr>
        <w:spacing w:after="120"/>
        <w:ind w:left="567" w:firstLine="0"/>
        <w:rPr>
          <w:rFonts w:ascii="Arial" w:hAnsi="Arial" w:cs="Arial"/>
          <w:sz w:val="22"/>
        </w:rPr>
      </w:pPr>
      <w:r w:rsidRPr="0019670E">
        <w:rPr>
          <w:rFonts w:ascii="Arial" w:hAnsi="Arial" w:cs="Arial"/>
          <w:b/>
          <w:bCs/>
          <w:noProof/>
          <w:color w:val="00526F"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D21A42" wp14:editId="46465880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71525" cy="1852863"/>
                <wp:effectExtent l="0" t="0" r="9525" b="0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852863"/>
                        </a:xfrm>
                        <a:prstGeom prst="rect">
                          <a:avLst/>
                        </a:prstGeom>
                        <a:solidFill>
                          <a:srgbClr val="009F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427380" id="Rettangolo 40" o:spid="_x0000_s1026" style="position:absolute;margin-left:0;margin-top:0;width:60.75pt;height:145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" fillcolor="#009fe3" stroked="f">
                <w10:wrap anchorx="page" anchory="page"/>
              </v:rect>
            </w:pict>
          </mc:Fallback>
        </mc:AlternateContent>
      </w:r>
    </w:p>
    <w:p w:rsidR="00E16033" w:rsidRPr="00E16033" w:rsidRDefault="00E16033" w:rsidP="00577B18">
      <w:pPr>
        <w:spacing w:after="120"/>
        <w:ind w:left="567" w:firstLine="0"/>
        <w:rPr>
          <w:rFonts w:ascii="Arial" w:hAnsi="Arial" w:cs="Arial"/>
          <w:i/>
          <w:sz w:val="22"/>
        </w:rPr>
      </w:pPr>
      <w:r w:rsidRPr="00E16033">
        <w:rPr>
          <w:rFonts w:ascii="Arial" w:hAnsi="Arial" w:cs="Arial"/>
          <w:i/>
          <w:sz w:val="22"/>
        </w:rPr>
        <w:t>Approfondimenti</w:t>
      </w:r>
    </w:p>
    <w:p w:rsidR="00E16033" w:rsidRPr="004C589C" w:rsidRDefault="007926B0" w:rsidP="004C589C">
      <w:pPr>
        <w:pStyle w:val="Paragrafoelenco"/>
        <w:numPr>
          <w:ilvl w:val="0"/>
          <w:numId w:val="5"/>
        </w:numPr>
        <w:spacing w:after="120"/>
        <w:rPr>
          <w:rFonts w:ascii="Arial" w:hAnsi="Arial" w:cs="Arial"/>
          <w:i/>
          <w:sz w:val="22"/>
        </w:rPr>
      </w:pPr>
      <w:r w:rsidRPr="004C589C">
        <w:rPr>
          <w:rFonts w:ascii="Arial" w:hAnsi="Arial" w:cs="Arial"/>
          <w:i/>
          <w:sz w:val="22"/>
        </w:rPr>
        <w:t xml:space="preserve">Il </w:t>
      </w:r>
      <w:r w:rsidR="00E16033" w:rsidRPr="004C589C">
        <w:rPr>
          <w:rFonts w:ascii="Arial" w:hAnsi="Arial" w:cs="Arial"/>
          <w:i/>
          <w:sz w:val="22"/>
        </w:rPr>
        <w:t>IV Rapporto Ca’ Foscari 2021</w:t>
      </w:r>
      <w:r w:rsidR="00310AF9" w:rsidRPr="004C589C">
        <w:rPr>
          <w:rFonts w:ascii="Arial" w:hAnsi="Arial" w:cs="Arial"/>
          <w:i/>
          <w:sz w:val="22"/>
        </w:rPr>
        <w:t>. L’evoluzione delle crisi finanziarie e le esigenze di riforma del “dissesto e predissesto”</w:t>
      </w:r>
    </w:p>
    <w:p w:rsidR="009B0CFF" w:rsidRDefault="009B0CFF" w:rsidP="00A611A3">
      <w:pPr>
        <w:spacing w:after="120"/>
        <w:ind w:left="708" w:firstLine="0"/>
        <w:rPr>
          <w:rFonts w:ascii="Arial" w:hAnsi="Arial" w:cs="Arial"/>
          <w:sz w:val="22"/>
        </w:rPr>
      </w:pPr>
      <w:r w:rsidRPr="00D915A9">
        <w:rPr>
          <w:rFonts w:ascii="Arial" w:hAnsi="Arial" w:cs="Arial"/>
          <w:b/>
          <w:sz w:val="22"/>
        </w:rPr>
        <w:t>Marcello Degni</w:t>
      </w:r>
      <w:r w:rsidRPr="009B0CFF">
        <w:rPr>
          <w:rFonts w:ascii="Arial" w:hAnsi="Arial" w:cs="Arial"/>
          <w:sz w:val="22"/>
        </w:rPr>
        <w:t>, Dean Ca’ Foscari School of Government, Università Ca’ Foscari di Venezia</w:t>
      </w:r>
    </w:p>
    <w:p w:rsidR="00E16033" w:rsidRPr="004C589C" w:rsidRDefault="00577B18" w:rsidP="004C589C">
      <w:pPr>
        <w:pStyle w:val="Paragrafoelenco"/>
        <w:numPr>
          <w:ilvl w:val="0"/>
          <w:numId w:val="5"/>
        </w:numPr>
        <w:spacing w:after="120"/>
        <w:rPr>
          <w:rFonts w:ascii="Arial" w:hAnsi="Arial" w:cs="Arial"/>
          <w:i/>
          <w:sz w:val="22"/>
        </w:rPr>
      </w:pPr>
      <w:r w:rsidRPr="004C589C">
        <w:rPr>
          <w:rFonts w:ascii="Arial" w:hAnsi="Arial" w:cs="Arial"/>
          <w:i/>
          <w:sz w:val="22"/>
        </w:rPr>
        <w:t>Le caratteristiche</w:t>
      </w:r>
      <w:r w:rsidR="00E16033" w:rsidRPr="004C589C">
        <w:rPr>
          <w:rFonts w:ascii="Arial" w:hAnsi="Arial" w:cs="Arial"/>
          <w:i/>
          <w:sz w:val="22"/>
        </w:rPr>
        <w:t xml:space="preserve"> della criticità finanziaria in </w:t>
      </w:r>
      <w:r w:rsidR="00310AF9" w:rsidRPr="004C589C">
        <w:rPr>
          <w:rFonts w:ascii="Arial" w:hAnsi="Arial" w:cs="Arial"/>
          <w:i/>
          <w:sz w:val="22"/>
        </w:rPr>
        <w:t>Sicilia</w:t>
      </w:r>
    </w:p>
    <w:p w:rsidR="009B0CFF" w:rsidRDefault="005E5F50" w:rsidP="00A611A3">
      <w:pPr>
        <w:spacing w:after="120"/>
        <w:ind w:left="708"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Carlo Vermiglio</w:t>
      </w:r>
      <w:r w:rsidR="009B0CFF" w:rsidRPr="009B0CFF">
        <w:rPr>
          <w:rFonts w:ascii="Arial" w:hAnsi="Arial" w:cs="Arial"/>
          <w:sz w:val="22"/>
        </w:rPr>
        <w:t>,</w:t>
      </w:r>
      <w:r w:rsidR="000E5DBD" w:rsidRPr="000E5DBD">
        <w:rPr>
          <w:rFonts w:ascii="Arial" w:hAnsi="Arial" w:cs="Arial"/>
          <w:sz w:val="22"/>
        </w:rPr>
        <w:t xml:space="preserve"> </w:t>
      </w:r>
      <w:r w:rsidR="00310AF9">
        <w:rPr>
          <w:rFonts w:ascii="Arial" w:hAnsi="Arial" w:cs="Arial"/>
          <w:sz w:val="22"/>
        </w:rPr>
        <w:t>Università d</w:t>
      </w:r>
      <w:r w:rsidR="008D620E">
        <w:rPr>
          <w:rFonts w:ascii="Arial" w:hAnsi="Arial" w:cs="Arial"/>
          <w:sz w:val="22"/>
        </w:rPr>
        <w:t>egli studi di</w:t>
      </w:r>
      <w:r w:rsidR="00310AF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Messina</w:t>
      </w:r>
      <w:r w:rsidR="00310AF9">
        <w:rPr>
          <w:rFonts w:ascii="Arial" w:hAnsi="Arial" w:cs="Arial"/>
          <w:sz w:val="22"/>
        </w:rPr>
        <w:t>,</w:t>
      </w:r>
      <w:r w:rsidR="000E5DBD">
        <w:rPr>
          <w:rFonts w:ascii="Arial" w:hAnsi="Arial" w:cs="Arial"/>
          <w:sz w:val="22"/>
        </w:rPr>
        <w:t xml:space="preserve"> Dipartimento di Economia</w:t>
      </w:r>
    </w:p>
    <w:p w:rsidR="005E5F50" w:rsidRDefault="004E7F02" w:rsidP="00A611A3">
      <w:pPr>
        <w:spacing w:after="120"/>
        <w:ind w:left="708"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Letterio </w:t>
      </w:r>
      <w:r w:rsidR="005E5F50">
        <w:rPr>
          <w:rFonts w:ascii="Arial" w:hAnsi="Arial" w:cs="Arial"/>
          <w:b/>
          <w:sz w:val="22"/>
        </w:rPr>
        <w:t xml:space="preserve">Donato </w:t>
      </w:r>
      <w:r w:rsidR="008D620E">
        <w:rPr>
          <w:rFonts w:ascii="Arial" w:hAnsi="Arial" w:cs="Arial"/>
          <w:sz w:val="22"/>
        </w:rPr>
        <w:t>Università degli studi di Messina,</w:t>
      </w:r>
      <w:r>
        <w:rPr>
          <w:rFonts w:ascii="Arial" w:hAnsi="Arial" w:cs="Arial"/>
          <w:sz w:val="22"/>
        </w:rPr>
        <w:t xml:space="preserve"> Dipartimento </w:t>
      </w:r>
      <w:r w:rsidR="00505B9B" w:rsidRPr="00505B9B">
        <w:rPr>
          <w:rFonts w:ascii="Arial" w:hAnsi="Arial" w:cs="Arial"/>
          <w:sz w:val="22"/>
        </w:rPr>
        <w:t>di Scienze Politiche e Giuridiche</w:t>
      </w:r>
    </w:p>
    <w:p w:rsidR="00B25159" w:rsidRDefault="00B25159" w:rsidP="009B0CFF">
      <w:pPr>
        <w:ind w:left="567" w:firstLine="0"/>
        <w:rPr>
          <w:rFonts w:ascii="Arial" w:hAnsi="Arial" w:cs="Arial"/>
          <w:sz w:val="22"/>
        </w:rPr>
      </w:pPr>
    </w:p>
    <w:p w:rsidR="00310AF9" w:rsidRPr="00E90FF2" w:rsidRDefault="00B43A58" w:rsidP="00670A07">
      <w:pPr>
        <w:spacing w:after="120"/>
        <w:ind w:left="567" w:firstLine="0"/>
        <w:rPr>
          <w:rFonts w:ascii="Arial" w:hAnsi="Arial" w:cs="Arial"/>
          <w:i/>
          <w:sz w:val="22"/>
        </w:rPr>
      </w:pPr>
      <w:r w:rsidRPr="00E90FF2">
        <w:rPr>
          <w:rFonts w:ascii="Arial" w:hAnsi="Arial" w:cs="Arial"/>
          <w:i/>
          <w:sz w:val="22"/>
        </w:rPr>
        <w:t>Esperienze</w:t>
      </w:r>
    </w:p>
    <w:p w:rsidR="008931CC" w:rsidRPr="000A4095" w:rsidRDefault="004F174F" w:rsidP="00670A07">
      <w:pPr>
        <w:pStyle w:val="Paragrafoelenco"/>
        <w:numPr>
          <w:ilvl w:val="0"/>
          <w:numId w:val="4"/>
        </w:numPr>
        <w:spacing w:after="12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I</w:t>
      </w:r>
      <w:r w:rsidR="000A4095" w:rsidRPr="000A4095">
        <w:rPr>
          <w:rFonts w:ascii="Arial" w:hAnsi="Arial" w:cs="Arial"/>
          <w:i/>
          <w:sz w:val="22"/>
        </w:rPr>
        <w:t>potesi di bilancio stabilmente riequilibrato e modalità di finanziamento della massa attiva</w:t>
      </w:r>
    </w:p>
    <w:p w:rsidR="005E5F50" w:rsidRPr="005E5F50" w:rsidRDefault="005E5F50" w:rsidP="005E5F50">
      <w:pPr>
        <w:spacing w:after="120"/>
        <w:ind w:left="708" w:firstLine="0"/>
        <w:rPr>
          <w:rFonts w:ascii="Arial" w:hAnsi="Arial" w:cs="Arial"/>
          <w:b/>
          <w:sz w:val="22"/>
        </w:rPr>
      </w:pPr>
      <w:r w:rsidRPr="005E5F50">
        <w:rPr>
          <w:rFonts w:ascii="Arial" w:hAnsi="Arial" w:cs="Arial"/>
          <w:b/>
          <w:sz w:val="22"/>
        </w:rPr>
        <w:t xml:space="preserve">Clara Leonardi, </w:t>
      </w:r>
      <w:r w:rsidR="00583751" w:rsidRPr="00583751">
        <w:rPr>
          <w:rFonts w:ascii="Arial" w:hAnsi="Arial" w:cs="Arial"/>
          <w:sz w:val="22"/>
        </w:rPr>
        <w:t>Ragioniere generale del</w:t>
      </w:r>
      <w:r w:rsidRPr="00583751">
        <w:rPr>
          <w:rFonts w:ascii="Arial" w:hAnsi="Arial" w:cs="Arial"/>
          <w:sz w:val="22"/>
        </w:rPr>
        <w:t xml:space="preserve"> Comune</w:t>
      </w:r>
      <w:r w:rsidRPr="005E5F50">
        <w:rPr>
          <w:rFonts w:ascii="Arial" w:hAnsi="Arial" w:cs="Arial"/>
          <w:sz w:val="22"/>
        </w:rPr>
        <w:t xml:space="preserve"> </w:t>
      </w:r>
      <w:r w:rsidR="00442A14">
        <w:rPr>
          <w:rFonts w:ascii="Arial" w:hAnsi="Arial" w:cs="Arial"/>
          <w:sz w:val="22"/>
        </w:rPr>
        <w:t xml:space="preserve">di </w:t>
      </w:r>
      <w:r w:rsidRPr="005E5F50">
        <w:rPr>
          <w:rFonts w:ascii="Arial" w:hAnsi="Arial" w:cs="Arial"/>
          <w:sz w:val="22"/>
        </w:rPr>
        <w:t xml:space="preserve">Catania </w:t>
      </w:r>
    </w:p>
    <w:p w:rsidR="004E4417" w:rsidRPr="004E4417" w:rsidRDefault="004E4417" w:rsidP="004E4417">
      <w:pPr>
        <w:pStyle w:val="Paragrafoelenco"/>
        <w:numPr>
          <w:ilvl w:val="0"/>
          <w:numId w:val="3"/>
        </w:numPr>
        <w:spacing w:after="120"/>
        <w:rPr>
          <w:rFonts w:ascii="Arial" w:hAnsi="Arial" w:cs="Arial"/>
          <w:bCs/>
          <w:i/>
          <w:iCs/>
          <w:sz w:val="22"/>
        </w:rPr>
      </w:pPr>
      <w:r w:rsidRPr="004E4417">
        <w:rPr>
          <w:rFonts w:ascii="Arial" w:hAnsi="Arial" w:cs="Arial"/>
          <w:bCs/>
          <w:i/>
          <w:iCs/>
          <w:sz w:val="22"/>
        </w:rPr>
        <w:t>Gli ambiti di competenza della gestione liquidatoria. Aspetti problematici e prospettive di riforma</w:t>
      </w:r>
    </w:p>
    <w:p w:rsidR="005E5F50" w:rsidRPr="005E5F50" w:rsidRDefault="004E7F02" w:rsidP="005E5F50">
      <w:pPr>
        <w:spacing w:after="120"/>
        <w:ind w:left="708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Fortunato</w:t>
      </w:r>
      <w:r w:rsidRPr="005E5F50">
        <w:rPr>
          <w:rFonts w:ascii="Arial" w:hAnsi="Arial" w:cs="Arial"/>
          <w:b/>
          <w:sz w:val="22"/>
        </w:rPr>
        <w:t xml:space="preserve"> </w:t>
      </w:r>
      <w:proofErr w:type="spellStart"/>
      <w:r w:rsidR="005E5F50" w:rsidRPr="005E5F50">
        <w:rPr>
          <w:rFonts w:ascii="Arial" w:hAnsi="Arial" w:cs="Arial"/>
          <w:b/>
          <w:sz w:val="22"/>
        </w:rPr>
        <w:t>Pitrola</w:t>
      </w:r>
      <w:proofErr w:type="spellEnd"/>
      <w:r w:rsidR="005E5F50" w:rsidRPr="005E5F50">
        <w:rPr>
          <w:rFonts w:ascii="Arial" w:hAnsi="Arial" w:cs="Arial"/>
          <w:b/>
          <w:sz w:val="22"/>
        </w:rPr>
        <w:t xml:space="preserve">, </w:t>
      </w:r>
      <w:r w:rsidR="006B6EC7">
        <w:rPr>
          <w:rFonts w:ascii="Arial" w:hAnsi="Arial" w:cs="Arial"/>
          <w:sz w:val="22"/>
        </w:rPr>
        <w:t>Responsabile servizio finanziario</w:t>
      </w:r>
      <w:r w:rsidR="00442A14">
        <w:rPr>
          <w:rFonts w:ascii="Arial" w:hAnsi="Arial" w:cs="Arial"/>
          <w:sz w:val="22"/>
        </w:rPr>
        <w:t xml:space="preserve"> del</w:t>
      </w:r>
      <w:r w:rsidR="005E5F50">
        <w:rPr>
          <w:rFonts w:ascii="Arial" w:hAnsi="Arial" w:cs="Arial"/>
          <w:sz w:val="22"/>
        </w:rPr>
        <w:t xml:space="preserve"> </w:t>
      </w:r>
      <w:r w:rsidR="006B6EC7">
        <w:rPr>
          <w:rFonts w:ascii="Arial" w:hAnsi="Arial" w:cs="Arial"/>
          <w:sz w:val="22"/>
        </w:rPr>
        <w:t xml:space="preserve">Comune </w:t>
      </w:r>
      <w:r w:rsidR="00442A14">
        <w:rPr>
          <w:rFonts w:ascii="Arial" w:hAnsi="Arial" w:cs="Arial"/>
          <w:sz w:val="22"/>
        </w:rPr>
        <w:t xml:space="preserve">di </w:t>
      </w:r>
      <w:r w:rsidR="005E5F50" w:rsidRPr="005E5F50">
        <w:rPr>
          <w:rFonts w:ascii="Arial" w:hAnsi="Arial" w:cs="Arial"/>
          <w:sz w:val="22"/>
        </w:rPr>
        <w:t>Campobello di Licata</w:t>
      </w:r>
      <w:r w:rsidR="006B6EC7">
        <w:rPr>
          <w:rFonts w:ascii="Arial" w:hAnsi="Arial" w:cs="Arial"/>
          <w:sz w:val="22"/>
        </w:rPr>
        <w:t>. Esperto di finanza locale e di processi di risanamento finanziario</w:t>
      </w:r>
    </w:p>
    <w:p w:rsidR="00B43A58" w:rsidRDefault="00B43A58" w:rsidP="009B0CFF">
      <w:pPr>
        <w:ind w:left="567" w:firstLine="0"/>
        <w:rPr>
          <w:rFonts w:ascii="Arial" w:hAnsi="Arial" w:cs="Arial"/>
          <w:sz w:val="22"/>
        </w:rPr>
      </w:pPr>
    </w:p>
    <w:p w:rsidR="00B25159" w:rsidRDefault="004C17C6" w:rsidP="004C17C6">
      <w:pPr>
        <w:spacing w:after="120"/>
        <w:ind w:left="567" w:firstLine="0"/>
        <w:rPr>
          <w:rFonts w:ascii="Arial" w:hAnsi="Arial" w:cs="Arial"/>
          <w:i/>
          <w:sz w:val="22"/>
        </w:rPr>
      </w:pPr>
      <w:r w:rsidRPr="004C17C6">
        <w:rPr>
          <w:rFonts w:ascii="Arial" w:hAnsi="Arial" w:cs="Arial"/>
          <w:i/>
          <w:sz w:val="22"/>
        </w:rPr>
        <w:t>Conclusioni</w:t>
      </w:r>
      <w:r w:rsidR="00DD6D57">
        <w:rPr>
          <w:rFonts w:ascii="Arial" w:hAnsi="Arial" w:cs="Arial"/>
          <w:i/>
          <w:sz w:val="22"/>
        </w:rPr>
        <w:t>/ Q&amp;A</w:t>
      </w:r>
    </w:p>
    <w:p w:rsidR="004C17C6" w:rsidRPr="004C17C6" w:rsidRDefault="004C17C6" w:rsidP="004C17C6">
      <w:pPr>
        <w:spacing w:after="120"/>
        <w:ind w:left="567" w:firstLine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ab/>
      </w:r>
    </w:p>
    <w:p w:rsidR="00B25159" w:rsidRPr="00B25159" w:rsidRDefault="00B25159" w:rsidP="00B25159"/>
    <w:p w:rsidR="00B25159" w:rsidRPr="00B25159" w:rsidRDefault="00B25159" w:rsidP="00B25159"/>
    <w:p w:rsidR="00B25159" w:rsidRPr="00B25159" w:rsidRDefault="00B25159" w:rsidP="00B25159"/>
    <w:p w:rsidR="00B25159" w:rsidRPr="00B25159" w:rsidRDefault="00B25159" w:rsidP="00B25159"/>
    <w:p w:rsidR="00B25159" w:rsidRPr="00B25159" w:rsidRDefault="00B25159" w:rsidP="00B25159"/>
    <w:p w:rsidR="00B25159" w:rsidRPr="00B25159" w:rsidRDefault="00B25159" w:rsidP="00B25159"/>
    <w:p w:rsidR="00B25159" w:rsidRPr="00B25159" w:rsidRDefault="00B25159" w:rsidP="00B25159"/>
    <w:p w:rsidR="00B25159" w:rsidRPr="00B25159" w:rsidRDefault="00B25159" w:rsidP="00CC4800">
      <w:pPr>
        <w:ind w:left="0" w:firstLine="0"/>
      </w:pPr>
    </w:p>
    <w:sectPr w:rsidR="00B25159" w:rsidRPr="00B25159" w:rsidSect="004A6793">
      <w:headerReference w:type="default" r:id="rId9"/>
      <w:footerReference w:type="default" r:id="rId10"/>
      <w:pgSz w:w="11906" w:h="16838"/>
      <w:pgMar w:top="1276" w:right="1134" w:bottom="1418" w:left="1276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4C" w:rsidRDefault="00B0574C" w:rsidP="00B25159">
      <w:r>
        <w:separator/>
      </w:r>
    </w:p>
  </w:endnote>
  <w:endnote w:type="continuationSeparator" w:id="0">
    <w:p w:rsidR="00B0574C" w:rsidRDefault="00B0574C" w:rsidP="00B2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159" w:rsidRDefault="00331897" w:rsidP="00B85619">
    <w:pPr>
      <w:pStyle w:val="Pidipagina"/>
      <w:jc w:val="right"/>
    </w:pPr>
    <w:r>
      <w:rPr>
        <w:noProof/>
        <w:lang w:eastAsia="it-IT"/>
      </w:rPr>
      <w:drawing>
        <wp:inline distT="0" distB="0" distL="0" distR="0" wp14:anchorId="4D779437" wp14:editId="7F7DF37E">
          <wp:extent cx="666750" cy="8382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" t="-43" r="-50" b="-43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442A14">
      <w:rPr>
        <w:noProof/>
        <w:lang w:eastAsia="it-IT"/>
      </w:rPr>
      <w:drawing>
        <wp:inline distT="0" distB="0" distL="0" distR="0" wp14:anchorId="5AA7411C" wp14:editId="5D79A8B6">
          <wp:extent cx="695325" cy="857885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578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85619">
      <w:rPr>
        <w:noProof/>
        <w:lang w:eastAsia="it-IT"/>
      </w:rPr>
      <w:drawing>
        <wp:inline distT="0" distB="0" distL="0" distR="0" wp14:anchorId="3FC2932E" wp14:editId="26951EBC">
          <wp:extent cx="1789824" cy="688340"/>
          <wp:effectExtent l="0" t="0" r="1270" b="0"/>
          <wp:docPr id="141" name="Immagine 141" descr="Home: Università Ca' Foscari Vene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me: Università Ca' Foscari Venez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824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4C" w:rsidRDefault="00B0574C" w:rsidP="00B25159">
      <w:r>
        <w:separator/>
      </w:r>
    </w:p>
  </w:footnote>
  <w:footnote w:type="continuationSeparator" w:id="0">
    <w:p w:rsidR="00B0574C" w:rsidRDefault="00B0574C" w:rsidP="00B2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1E" w:rsidRPr="009F381E" w:rsidRDefault="009F381E" w:rsidP="009F381E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A7D7B"/>
    <w:multiLevelType w:val="hybridMultilevel"/>
    <w:tmpl w:val="987C5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C4503"/>
    <w:multiLevelType w:val="hybridMultilevel"/>
    <w:tmpl w:val="551EE8F6"/>
    <w:lvl w:ilvl="0" w:tplc="3814B9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CA5021"/>
    <w:multiLevelType w:val="hybridMultilevel"/>
    <w:tmpl w:val="7AB4B63C"/>
    <w:lvl w:ilvl="0" w:tplc="DD3CE31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3221D91"/>
    <w:multiLevelType w:val="hybridMultilevel"/>
    <w:tmpl w:val="2338A15C"/>
    <w:lvl w:ilvl="0" w:tplc="AE4042AC">
      <w:start w:val="17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CE8137B"/>
    <w:multiLevelType w:val="hybridMultilevel"/>
    <w:tmpl w:val="BA525F28"/>
    <w:lvl w:ilvl="0" w:tplc="B0DC62F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6A"/>
    <w:rsid w:val="00004302"/>
    <w:rsid w:val="00016819"/>
    <w:rsid w:val="0002669A"/>
    <w:rsid w:val="000A4095"/>
    <w:rsid w:val="000E5DBD"/>
    <w:rsid w:val="00121C14"/>
    <w:rsid w:val="00190B9D"/>
    <w:rsid w:val="00193885"/>
    <w:rsid w:val="0019670E"/>
    <w:rsid w:val="001F4D8E"/>
    <w:rsid w:val="002058D0"/>
    <w:rsid w:val="00286458"/>
    <w:rsid w:val="00310AF9"/>
    <w:rsid w:val="003311E2"/>
    <w:rsid w:val="00331897"/>
    <w:rsid w:val="00334654"/>
    <w:rsid w:val="0033792A"/>
    <w:rsid w:val="00356387"/>
    <w:rsid w:val="00373527"/>
    <w:rsid w:val="00384964"/>
    <w:rsid w:val="0039136C"/>
    <w:rsid w:val="003E5755"/>
    <w:rsid w:val="00442A14"/>
    <w:rsid w:val="00485991"/>
    <w:rsid w:val="004A3079"/>
    <w:rsid w:val="004A6793"/>
    <w:rsid w:val="004C17C6"/>
    <w:rsid w:val="004C589C"/>
    <w:rsid w:val="004E4417"/>
    <w:rsid w:val="004E6AB9"/>
    <w:rsid w:val="004E7F02"/>
    <w:rsid w:val="004F174F"/>
    <w:rsid w:val="004F4D10"/>
    <w:rsid w:val="00505B9B"/>
    <w:rsid w:val="00542316"/>
    <w:rsid w:val="00577B18"/>
    <w:rsid w:val="00583751"/>
    <w:rsid w:val="00586036"/>
    <w:rsid w:val="005C480C"/>
    <w:rsid w:val="005D4000"/>
    <w:rsid w:val="005E5F50"/>
    <w:rsid w:val="005F1B66"/>
    <w:rsid w:val="00606FAE"/>
    <w:rsid w:val="00670A07"/>
    <w:rsid w:val="006B6EC7"/>
    <w:rsid w:val="00730F8F"/>
    <w:rsid w:val="00742B20"/>
    <w:rsid w:val="00742CBE"/>
    <w:rsid w:val="007926B0"/>
    <w:rsid w:val="00793FD9"/>
    <w:rsid w:val="008003AA"/>
    <w:rsid w:val="008234A0"/>
    <w:rsid w:val="00831EE3"/>
    <w:rsid w:val="00854A53"/>
    <w:rsid w:val="008931CC"/>
    <w:rsid w:val="008D2BA7"/>
    <w:rsid w:val="008D620E"/>
    <w:rsid w:val="009107F7"/>
    <w:rsid w:val="009644E4"/>
    <w:rsid w:val="009A17CC"/>
    <w:rsid w:val="009B0CFF"/>
    <w:rsid w:val="009F381E"/>
    <w:rsid w:val="00A46845"/>
    <w:rsid w:val="00A611A3"/>
    <w:rsid w:val="00A66576"/>
    <w:rsid w:val="00B03EC7"/>
    <w:rsid w:val="00B0574C"/>
    <w:rsid w:val="00B25159"/>
    <w:rsid w:val="00B43A58"/>
    <w:rsid w:val="00B47315"/>
    <w:rsid w:val="00B85619"/>
    <w:rsid w:val="00B925E2"/>
    <w:rsid w:val="00C0106A"/>
    <w:rsid w:val="00C22D32"/>
    <w:rsid w:val="00C4268E"/>
    <w:rsid w:val="00CA0F61"/>
    <w:rsid w:val="00CB76DA"/>
    <w:rsid w:val="00CC4800"/>
    <w:rsid w:val="00D05F6A"/>
    <w:rsid w:val="00D15654"/>
    <w:rsid w:val="00D80A84"/>
    <w:rsid w:val="00D915A9"/>
    <w:rsid w:val="00DD6D57"/>
    <w:rsid w:val="00E06DBC"/>
    <w:rsid w:val="00E16033"/>
    <w:rsid w:val="00E261EE"/>
    <w:rsid w:val="00E90FF2"/>
    <w:rsid w:val="00F36CE5"/>
    <w:rsid w:val="00F55292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F592D5-8C4C-4130-9946-2C0C2403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FAE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51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159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251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159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384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26E0-A8EA-4A4B-B79A-EA9780CE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Luciani</dc:creator>
  <cp:keywords/>
  <dc:description/>
  <cp:lastModifiedBy>Fabrizio Fazioli</cp:lastModifiedBy>
  <cp:revision>17</cp:revision>
  <dcterms:created xsi:type="dcterms:W3CDTF">2021-11-03T13:04:00Z</dcterms:created>
  <dcterms:modified xsi:type="dcterms:W3CDTF">2021-11-04T17:44:00Z</dcterms:modified>
</cp:coreProperties>
</file>