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A46B4" w14:textId="01F5DD8D" w:rsidR="00912DA1" w:rsidRPr="00487096" w:rsidRDefault="00BC14F6" w:rsidP="00283964">
      <w:pPr>
        <w:spacing w:before="120" w:after="120"/>
        <w:jc w:val="center"/>
        <w:rPr>
          <w:rFonts w:ascii="Bookman Old Style" w:hAnsi="Bookman Old Style"/>
          <w:b/>
          <w:color w:val="FF0000"/>
          <w:sz w:val="22"/>
          <w:szCs w:val="22"/>
        </w:rPr>
      </w:pPr>
      <w:r w:rsidRPr="00487096">
        <w:rPr>
          <w:rFonts w:ascii="Bookman Old Style" w:hAnsi="Bookman Old Style"/>
          <w:b/>
          <w:color w:val="FF0000"/>
          <w:sz w:val="22"/>
          <w:szCs w:val="22"/>
        </w:rPr>
        <w:t>INTESTAZIONE DELL’ENTE</w:t>
      </w:r>
    </w:p>
    <w:p w14:paraId="73E7583B" w14:textId="77777777" w:rsidR="00283964" w:rsidRPr="00487096" w:rsidRDefault="00912DA1" w:rsidP="00283964">
      <w:pPr>
        <w:jc w:val="center"/>
        <w:rPr>
          <w:rFonts w:ascii="Bookman Old Style" w:hAnsi="Bookman Old Style"/>
          <w:spacing w:val="-12"/>
          <w:sz w:val="22"/>
          <w:szCs w:val="22"/>
        </w:rPr>
      </w:pPr>
      <w:r w:rsidRPr="00487096">
        <w:rPr>
          <w:rFonts w:ascii="Bookman Old Style" w:hAnsi="Bookman Old Style"/>
          <w:noProof/>
          <w:sz w:val="22"/>
          <w:szCs w:val="22"/>
        </w:rPr>
        <mc:AlternateContent>
          <mc:Choice Requires="wps">
            <w:drawing>
              <wp:anchor distT="0" distB="0" distL="114300" distR="114300" simplePos="0" relativeHeight="251656704" behindDoc="0" locked="0" layoutInCell="1" allowOverlap="1" wp14:anchorId="1639AC91" wp14:editId="3D9DF88A">
                <wp:simplePos x="0" y="0"/>
                <wp:positionH relativeFrom="column">
                  <wp:posOffset>571500</wp:posOffset>
                </wp:positionH>
                <wp:positionV relativeFrom="paragraph">
                  <wp:posOffset>12700</wp:posOffset>
                </wp:positionV>
                <wp:extent cx="4914900" cy="34290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342900"/>
                        </a:xfrm>
                        <a:prstGeom prst="rect">
                          <a:avLst/>
                        </a:prstGeom>
                        <a:solidFill>
                          <a:srgbClr val="FFFFFF"/>
                        </a:solidFill>
                        <a:ln w="9525">
                          <a:solidFill>
                            <a:srgbClr val="000000"/>
                          </a:solidFill>
                          <a:miter lim="800000"/>
                          <a:headEnd/>
                          <a:tailEnd/>
                        </a:ln>
                        <a:effectLst>
                          <a:outerShdw blurRad="63500" dist="89803" dir="2700000" algn="ctr" rotWithShape="0">
                            <a:srgbClr val="000000">
                              <a:alpha val="74998"/>
                            </a:srgbClr>
                          </a:outerShdw>
                        </a:effectLst>
                      </wps:spPr>
                      <wps:txbx>
                        <w:txbxContent>
                          <w:p w14:paraId="4E365999" w14:textId="77777777" w:rsidR="00D8207C" w:rsidRDefault="00D8207C" w:rsidP="00283964">
                            <w:pPr>
                              <w:jc w:val="center"/>
                            </w:pPr>
                            <w:r>
                              <w:rPr>
                                <w:rFonts w:ascii="Arial" w:hAnsi="Arial"/>
                                <w:b/>
                                <w:spacing w:val="-12"/>
                                <w:sz w:val="32"/>
                              </w:rPr>
                              <w:t>DELIBERAZIONE DELLA GIUNTA COMUNALE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9AC91" id="Rectangle 6" o:spid="_x0000_s1026" style="position:absolute;left:0;text-align:left;margin-left:45pt;margin-top:1pt;width:387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">
                <v:shadow on="t" color="black" opacity="49150f" offset="5pt,5pt"/>
                <v:textbox>
                  <w:txbxContent>
                    <w:p w14:paraId="4E365999" w14:textId="77777777" w:rsidR="00D8207C" w:rsidRDefault="00D8207C" w:rsidP="00283964">
                      <w:pPr>
                        <w:jc w:val="center"/>
                      </w:pPr>
                      <w:r>
                        <w:rPr>
                          <w:rFonts w:ascii="Arial" w:hAnsi="Arial"/>
                          <w:b/>
                          <w:spacing w:val="-12"/>
                          <w:sz w:val="32"/>
                        </w:rPr>
                        <w:t>DELIBERAZIONE DELLA GIUNTA COMUNALE</w:t>
                      </w:r>
                    </w:p>
                  </w:txbxContent>
                </v:textbox>
              </v:rect>
            </w:pict>
          </mc:Fallback>
        </mc:AlternateContent>
      </w:r>
    </w:p>
    <w:p w14:paraId="0D30BE68" w14:textId="77777777" w:rsidR="00283964" w:rsidRPr="00487096" w:rsidRDefault="00283964" w:rsidP="00283964">
      <w:pPr>
        <w:rPr>
          <w:rFonts w:ascii="Bookman Old Style" w:hAnsi="Bookman Old Style"/>
          <w:spacing w:val="-12"/>
          <w:sz w:val="22"/>
          <w:szCs w:val="22"/>
        </w:rPr>
      </w:pPr>
    </w:p>
    <w:p w14:paraId="22054FB5" w14:textId="77777777" w:rsidR="00283964" w:rsidRPr="00487096" w:rsidRDefault="00283964" w:rsidP="00283964">
      <w:pPr>
        <w:rPr>
          <w:rFonts w:ascii="Bookman Old Style" w:hAnsi="Bookman Old Style"/>
          <w:spacing w:val="-12"/>
          <w:sz w:val="22"/>
          <w:szCs w:val="22"/>
        </w:rPr>
      </w:pPr>
    </w:p>
    <w:p w14:paraId="40CFA7DF" w14:textId="77777777" w:rsidR="00283964" w:rsidRPr="00487096" w:rsidRDefault="00283964" w:rsidP="00283964">
      <w:pPr>
        <w:rPr>
          <w:rFonts w:ascii="Bookman Old Style" w:hAnsi="Bookman Old Style"/>
          <w:spacing w:val="-12"/>
          <w:sz w:val="22"/>
          <w:szCs w:val="22"/>
        </w:rPr>
      </w:pPr>
    </w:p>
    <w:p w14:paraId="7967FD09" w14:textId="77777777" w:rsidR="00283964" w:rsidRPr="00487096" w:rsidRDefault="00283964" w:rsidP="00283964">
      <w:pPr>
        <w:jc w:val="both"/>
        <w:rPr>
          <w:rFonts w:ascii="Bookman Old Style" w:hAnsi="Bookman Old Style"/>
          <w:sz w:val="22"/>
          <w:szCs w:val="22"/>
        </w:rPr>
      </w:pPr>
    </w:p>
    <w:p w14:paraId="2563391C" w14:textId="77777777" w:rsidR="00283964" w:rsidRPr="00487096" w:rsidRDefault="00283964" w:rsidP="00283964">
      <w:pPr>
        <w:jc w:val="both"/>
        <w:rPr>
          <w:rFonts w:ascii="Bookman Old Style" w:hAnsi="Bookman Old Style"/>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444"/>
        <w:gridCol w:w="7962"/>
      </w:tblGrid>
      <w:tr w:rsidR="00283964" w:rsidRPr="00487096" w14:paraId="43CBB9C4" w14:textId="77777777">
        <w:trPr>
          <w:trHeight w:val="711"/>
        </w:trPr>
        <w:tc>
          <w:tcPr>
            <w:tcW w:w="1368" w:type="dxa"/>
            <w:tcBorders>
              <w:top w:val="nil"/>
              <w:left w:val="nil"/>
              <w:bottom w:val="nil"/>
              <w:right w:val="single" w:sz="2" w:space="0" w:color="auto"/>
            </w:tcBorders>
            <w:vAlign w:val="center"/>
          </w:tcPr>
          <w:p w14:paraId="6A929DF1" w14:textId="77777777" w:rsidR="00283964" w:rsidRPr="00487096" w:rsidRDefault="00283964" w:rsidP="004B2F3F">
            <w:pPr>
              <w:pStyle w:val="Titolo1"/>
              <w:spacing w:before="0" w:after="0"/>
              <w:rPr>
                <w:rFonts w:ascii="Bookman Old Style" w:hAnsi="Bookman Old Style"/>
                <w:b w:val="0"/>
                <w:sz w:val="22"/>
                <w:szCs w:val="22"/>
                <w:u w:val="single"/>
              </w:rPr>
            </w:pPr>
            <w:r w:rsidRPr="00487096">
              <w:rPr>
                <w:rFonts w:ascii="Bookman Old Style" w:hAnsi="Bookman Old Style"/>
                <w:b w:val="0"/>
                <w:sz w:val="22"/>
                <w:szCs w:val="22"/>
              </w:rPr>
              <w:t>OGGETTO:</w:t>
            </w:r>
          </w:p>
        </w:tc>
        <w:tc>
          <w:tcPr>
            <w:tcW w:w="8460" w:type="dxa"/>
            <w:gridSpan w:val="2"/>
            <w:tcBorders>
              <w:top w:val="nil"/>
              <w:left w:val="single" w:sz="2" w:space="0" w:color="auto"/>
              <w:bottom w:val="single" w:sz="2" w:space="0" w:color="auto"/>
              <w:right w:val="nil"/>
            </w:tcBorders>
            <w:vAlign w:val="center"/>
          </w:tcPr>
          <w:p w14:paraId="15C21E4A" w14:textId="77777777" w:rsidR="00CC4F47" w:rsidRPr="00487096" w:rsidRDefault="00CC4F47" w:rsidP="00383A22">
            <w:pPr>
              <w:spacing w:line="260" w:lineRule="exact"/>
              <w:jc w:val="both"/>
              <w:rPr>
                <w:rFonts w:ascii="Bookman Old Style" w:hAnsi="Bookman Old Style"/>
                <w:i/>
                <w:sz w:val="22"/>
                <w:szCs w:val="22"/>
              </w:rPr>
            </w:pPr>
          </w:p>
          <w:p w14:paraId="5310BA66" w14:textId="606FE85D" w:rsidR="00283964" w:rsidRPr="00487096" w:rsidRDefault="0060082A" w:rsidP="00CC4F47">
            <w:pPr>
              <w:spacing w:line="260" w:lineRule="exact"/>
              <w:jc w:val="both"/>
              <w:rPr>
                <w:rFonts w:ascii="Bookman Old Style" w:hAnsi="Bookman Old Style"/>
                <w:b/>
                <w:sz w:val="22"/>
                <w:szCs w:val="22"/>
              </w:rPr>
            </w:pPr>
            <w:r w:rsidRPr="00487096">
              <w:rPr>
                <w:rFonts w:ascii="Bookman Old Style" w:hAnsi="Bookman Old Style"/>
                <w:b/>
                <w:sz w:val="22"/>
                <w:szCs w:val="22"/>
              </w:rPr>
              <w:t>Gravi c</w:t>
            </w:r>
            <w:r w:rsidR="001D65CA" w:rsidRPr="00487096">
              <w:rPr>
                <w:rFonts w:ascii="Bookman Old Style" w:hAnsi="Bookman Old Style"/>
                <w:b/>
                <w:sz w:val="22"/>
                <w:szCs w:val="22"/>
              </w:rPr>
              <w:t>riticità</w:t>
            </w:r>
            <w:r w:rsidRPr="00487096">
              <w:rPr>
                <w:rFonts w:ascii="Bookman Old Style" w:hAnsi="Bookman Old Style"/>
                <w:b/>
                <w:sz w:val="22"/>
                <w:szCs w:val="22"/>
              </w:rPr>
              <w:t xml:space="preserve"> </w:t>
            </w:r>
            <w:r w:rsidR="00035D12" w:rsidRPr="00487096">
              <w:rPr>
                <w:rFonts w:ascii="Bookman Old Style" w:hAnsi="Bookman Old Style"/>
                <w:b/>
                <w:sz w:val="22"/>
                <w:szCs w:val="22"/>
              </w:rPr>
              <w:t xml:space="preserve">finanziarie </w:t>
            </w:r>
            <w:r w:rsidR="008226E1" w:rsidRPr="00487096">
              <w:rPr>
                <w:rFonts w:ascii="Bookman Old Style" w:hAnsi="Bookman Old Style"/>
                <w:b/>
                <w:sz w:val="22"/>
                <w:szCs w:val="22"/>
              </w:rPr>
              <w:t xml:space="preserve">e difficoltà </w:t>
            </w:r>
            <w:r w:rsidRPr="00487096">
              <w:rPr>
                <w:rFonts w:ascii="Bookman Old Style" w:hAnsi="Bookman Old Style"/>
                <w:b/>
                <w:sz w:val="22"/>
                <w:szCs w:val="22"/>
              </w:rPr>
              <w:t>nella predisposizione del</w:t>
            </w:r>
            <w:r w:rsidR="001D65CA" w:rsidRPr="00487096">
              <w:rPr>
                <w:rFonts w:ascii="Bookman Old Style" w:hAnsi="Bookman Old Style"/>
                <w:b/>
                <w:sz w:val="22"/>
                <w:szCs w:val="22"/>
              </w:rPr>
              <w:t xml:space="preserve"> bilancio</w:t>
            </w:r>
            <w:r w:rsidR="00D80748" w:rsidRPr="00487096">
              <w:rPr>
                <w:rFonts w:ascii="Bookman Old Style" w:hAnsi="Bookman Old Style"/>
                <w:b/>
                <w:sz w:val="22"/>
                <w:szCs w:val="22"/>
              </w:rPr>
              <w:t xml:space="preserve"> di</w:t>
            </w:r>
            <w:r w:rsidR="001D65CA" w:rsidRPr="00487096">
              <w:rPr>
                <w:rFonts w:ascii="Bookman Old Style" w:hAnsi="Bookman Old Style"/>
                <w:b/>
                <w:sz w:val="22"/>
                <w:szCs w:val="22"/>
              </w:rPr>
              <w:t xml:space="preserve"> previsione 2021/2023</w:t>
            </w:r>
            <w:r w:rsidRPr="00487096">
              <w:rPr>
                <w:rFonts w:ascii="Bookman Old Style" w:hAnsi="Bookman Old Style"/>
                <w:b/>
                <w:sz w:val="22"/>
                <w:szCs w:val="22"/>
              </w:rPr>
              <w:t>.</w:t>
            </w:r>
            <w:r w:rsidR="00CC4F47" w:rsidRPr="00487096">
              <w:rPr>
                <w:rFonts w:ascii="Bookman Old Style" w:hAnsi="Bookman Old Style"/>
                <w:b/>
                <w:sz w:val="22"/>
                <w:szCs w:val="22"/>
              </w:rPr>
              <w:t xml:space="preserve"> </w:t>
            </w:r>
          </w:p>
        </w:tc>
      </w:tr>
      <w:tr w:rsidR="00283964" w:rsidRPr="00487096" w14:paraId="799A0966" w14:textId="77777777">
        <w:tc>
          <w:tcPr>
            <w:tcW w:w="1815" w:type="dxa"/>
            <w:gridSpan w:val="2"/>
            <w:tcBorders>
              <w:top w:val="nil"/>
              <w:left w:val="nil"/>
              <w:bottom w:val="nil"/>
              <w:right w:val="nil"/>
            </w:tcBorders>
          </w:tcPr>
          <w:p w14:paraId="79A25E74" w14:textId="77777777" w:rsidR="00283964" w:rsidRPr="00487096" w:rsidRDefault="00283964" w:rsidP="004B2F3F">
            <w:pPr>
              <w:rPr>
                <w:rFonts w:ascii="Bookman Old Style" w:hAnsi="Bookman Old Style"/>
                <w:b/>
                <w:sz w:val="22"/>
                <w:szCs w:val="22"/>
              </w:rPr>
            </w:pPr>
          </w:p>
        </w:tc>
        <w:tc>
          <w:tcPr>
            <w:tcW w:w="8013" w:type="dxa"/>
            <w:tcBorders>
              <w:top w:val="nil"/>
              <w:left w:val="nil"/>
              <w:bottom w:val="nil"/>
              <w:right w:val="nil"/>
            </w:tcBorders>
            <w:shd w:val="clear" w:color="auto" w:fill="D9D9D9"/>
          </w:tcPr>
          <w:p w14:paraId="650E8891" w14:textId="77777777" w:rsidR="00283964" w:rsidRPr="00487096" w:rsidRDefault="00283964" w:rsidP="004B2F3F">
            <w:pPr>
              <w:rPr>
                <w:rFonts w:ascii="Bookman Old Style" w:hAnsi="Bookman Old Style"/>
                <w:b/>
                <w:sz w:val="22"/>
                <w:szCs w:val="22"/>
              </w:rPr>
            </w:pPr>
          </w:p>
        </w:tc>
      </w:tr>
    </w:tbl>
    <w:p w14:paraId="25678F62" w14:textId="77777777" w:rsidR="00283964" w:rsidRPr="00487096" w:rsidRDefault="00283964" w:rsidP="00283964">
      <w:pPr>
        <w:rPr>
          <w:rFonts w:ascii="Bookman Old Style" w:hAnsi="Bookman Old Style"/>
          <w:b/>
          <w:spacing w:val="-12"/>
          <w:sz w:val="22"/>
          <w:szCs w:val="22"/>
        </w:rPr>
      </w:pPr>
    </w:p>
    <w:p w14:paraId="10F469DD" w14:textId="77777777" w:rsidR="00F040ED" w:rsidRPr="00487096" w:rsidRDefault="00F040ED" w:rsidP="00E012A3">
      <w:pPr>
        <w:pStyle w:val="Titolo1"/>
        <w:spacing w:before="0" w:after="120"/>
        <w:jc w:val="center"/>
        <w:rPr>
          <w:rFonts w:ascii="Bookman Old Style" w:hAnsi="Bookman Old Style"/>
          <w:sz w:val="22"/>
          <w:szCs w:val="22"/>
        </w:rPr>
      </w:pPr>
      <w:r w:rsidRPr="00487096">
        <w:rPr>
          <w:rFonts w:ascii="Bookman Old Style" w:hAnsi="Bookman Old Style"/>
          <w:sz w:val="22"/>
          <w:szCs w:val="22"/>
        </w:rPr>
        <w:t>LA GIUNTA COMUNALE</w:t>
      </w:r>
    </w:p>
    <w:p w14:paraId="0B8DECCD" w14:textId="77777777" w:rsidR="00D80748" w:rsidRPr="00487096" w:rsidRDefault="00D80748" w:rsidP="00E012A3">
      <w:pPr>
        <w:spacing w:after="120"/>
        <w:jc w:val="both"/>
        <w:rPr>
          <w:rFonts w:ascii="Bookman Old Style" w:hAnsi="Bookman Old Style"/>
          <w:sz w:val="22"/>
          <w:szCs w:val="22"/>
        </w:rPr>
      </w:pPr>
    </w:p>
    <w:p w14:paraId="3EA8F96D" w14:textId="5C613FF6" w:rsidR="0050092E" w:rsidRPr="00487096" w:rsidRDefault="00947B21" w:rsidP="00947B21">
      <w:pPr>
        <w:tabs>
          <w:tab w:val="center" w:pos="1620"/>
          <w:tab w:val="center" w:pos="7920"/>
        </w:tabs>
        <w:spacing w:after="120"/>
        <w:jc w:val="both"/>
        <w:rPr>
          <w:rFonts w:ascii="Bookman Old Style" w:hAnsi="Bookman Old Style" w:cs="Calibri"/>
          <w:sz w:val="22"/>
          <w:szCs w:val="22"/>
        </w:rPr>
      </w:pPr>
      <w:r w:rsidRPr="00487096">
        <w:rPr>
          <w:rFonts w:ascii="Bookman Old Style" w:hAnsi="Bookman Old Style"/>
          <w:b/>
          <w:bCs/>
          <w:sz w:val="22"/>
          <w:szCs w:val="22"/>
        </w:rPr>
        <w:t xml:space="preserve">CONSIDERATO </w:t>
      </w:r>
      <w:r w:rsidR="008839AA" w:rsidRPr="00487096">
        <w:rPr>
          <w:rStyle w:val="s2"/>
          <w:rFonts w:ascii="Bookman Old Style" w:hAnsi="Bookman Old Style"/>
        </w:rPr>
        <w:t>che</w:t>
      </w:r>
      <w:r w:rsidRPr="00487096">
        <w:rPr>
          <w:rFonts w:ascii="Bookman Old Style" w:hAnsi="Bookman Old Style"/>
          <w:sz w:val="22"/>
          <w:szCs w:val="22"/>
        </w:rPr>
        <w:t xml:space="preserve"> </w:t>
      </w:r>
      <w:r w:rsidR="0050092E" w:rsidRPr="00487096">
        <w:rPr>
          <w:rFonts w:ascii="Bookman Old Style" w:hAnsi="Bookman Old Style"/>
          <w:sz w:val="22"/>
          <w:szCs w:val="22"/>
        </w:rPr>
        <w:t xml:space="preserve">negli ultimi 10 anni si è assistito ad una drastica riduzione dei </w:t>
      </w:r>
      <w:r w:rsidR="0050092E" w:rsidRPr="004F2366">
        <w:rPr>
          <w:rFonts w:ascii="Bookman Old Style" w:hAnsi="Bookman Old Style"/>
          <w:sz w:val="22"/>
          <w:szCs w:val="22"/>
        </w:rPr>
        <w:t xml:space="preserve">trasferimenti nazionali e regionali </w:t>
      </w:r>
      <w:r w:rsidR="000E6443" w:rsidRPr="004F2366">
        <w:rPr>
          <w:rFonts w:ascii="Bookman Old Style" w:hAnsi="Bookman Old Style"/>
          <w:sz w:val="22"/>
          <w:szCs w:val="22"/>
        </w:rPr>
        <w:t xml:space="preserve">agli Enti Locali </w:t>
      </w:r>
      <w:r w:rsidR="0050092E" w:rsidRPr="004F2366">
        <w:rPr>
          <w:rFonts w:ascii="Bookman Old Style" w:hAnsi="Bookman Old Style"/>
          <w:sz w:val="22"/>
          <w:szCs w:val="22"/>
        </w:rPr>
        <w:t>ed in particolare</w:t>
      </w:r>
      <w:r w:rsidR="00804794" w:rsidRPr="004F2366">
        <w:rPr>
          <w:rFonts w:ascii="Bookman Old Style" w:hAnsi="Bookman Old Style"/>
          <w:sz w:val="22"/>
          <w:szCs w:val="22"/>
        </w:rPr>
        <w:t xml:space="preserve">, ad eccezione del </w:t>
      </w:r>
      <w:r w:rsidR="00804794" w:rsidRPr="00487096">
        <w:rPr>
          <w:rFonts w:ascii="Bookman Old Style" w:hAnsi="Bookman Old Style"/>
          <w:sz w:val="22"/>
          <w:szCs w:val="22"/>
        </w:rPr>
        <w:t>2020,</w:t>
      </w:r>
      <w:r w:rsidR="0050092E" w:rsidRPr="00487096">
        <w:rPr>
          <w:rFonts w:ascii="Bookman Old Style" w:hAnsi="Bookman Old Style"/>
          <w:sz w:val="22"/>
          <w:szCs w:val="22"/>
        </w:rPr>
        <w:t xml:space="preserve"> </w:t>
      </w:r>
      <w:r w:rsidR="00A714C8" w:rsidRPr="00487096">
        <w:rPr>
          <w:rFonts w:ascii="Bookman Old Style" w:hAnsi="Bookman Old Style"/>
          <w:sz w:val="22"/>
          <w:szCs w:val="22"/>
        </w:rPr>
        <w:t xml:space="preserve">si è passati </w:t>
      </w:r>
      <w:r w:rsidR="002F5910" w:rsidRPr="00487096">
        <w:rPr>
          <w:rFonts w:ascii="Bookman Old Style" w:hAnsi="Bookman Old Style"/>
          <w:sz w:val="22"/>
          <w:szCs w:val="22"/>
        </w:rPr>
        <w:t>da</w:t>
      </w:r>
      <w:r w:rsidR="00545D9A">
        <w:rPr>
          <w:rFonts w:ascii="Bookman Old Style" w:hAnsi="Bookman Old Style"/>
          <w:sz w:val="22"/>
          <w:szCs w:val="22"/>
        </w:rPr>
        <w:t>gli</w:t>
      </w:r>
      <w:r w:rsidR="002F5910" w:rsidRPr="00487096">
        <w:rPr>
          <w:rFonts w:ascii="Bookman Old Style" w:hAnsi="Bookman Old Style"/>
          <w:sz w:val="22"/>
          <w:szCs w:val="22"/>
        </w:rPr>
        <w:t xml:space="preserve"> 11</w:t>
      </w:r>
      <w:r w:rsidR="00545D9A">
        <w:rPr>
          <w:rFonts w:ascii="Bookman Old Style" w:hAnsi="Bookman Old Style"/>
          <w:sz w:val="22"/>
          <w:szCs w:val="22"/>
        </w:rPr>
        <w:t>,1</w:t>
      </w:r>
      <w:r w:rsidR="002F5910" w:rsidRPr="00487096">
        <w:rPr>
          <w:rFonts w:ascii="Bookman Old Style" w:hAnsi="Bookman Old Style"/>
          <w:sz w:val="22"/>
          <w:szCs w:val="22"/>
        </w:rPr>
        <w:t xml:space="preserve"> miliardi di risorse nazionali </w:t>
      </w:r>
      <w:r w:rsidR="0095347E">
        <w:rPr>
          <w:rFonts w:ascii="Bookman Old Style" w:hAnsi="Bookman Old Style"/>
          <w:sz w:val="22"/>
          <w:szCs w:val="22"/>
        </w:rPr>
        <w:t xml:space="preserve">del 2008 </w:t>
      </w:r>
      <w:r w:rsidR="002F5910" w:rsidRPr="00487096">
        <w:rPr>
          <w:rFonts w:ascii="Bookman Old Style" w:hAnsi="Bookman Old Style"/>
          <w:sz w:val="22"/>
          <w:szCs w:val="22"/>
        </w:rPr>
        <w:t xml:space="preserve">a pressoché zero e da quasi </w:t>
      </w:r>
      <w:r w:rsidR="0095347E">
        <w:rPr>
          <w:rFonts w:ascii="Bookman Old Style" w:hAnsi="Bookman Old Style"/>
          <w:sz w:val="22"/>
          <w:szCs w:val="22"/>
        </w:rPr>
        <w:t>1</w:t>
      </w:r>
      <w:r w:rsidR="002F5910" w:rsidRPr="00487096">
        <w:rPr>
          <w:rFonts w:ascii="Bookman Old Style" w:hAnsi="Bookman Old Style"/>
          <w:sz w:val="22"/>
          <w:szCs w:val="22"/>
        </w:rPr>
        <w:t xml:space="preserve"> miliardo </w:t>
      </w:r>
      <w:r w:rsidR="0038348F" w:rsidRPr="00487096">
        <w:rPr>
          <w:rFonts w:ascii="Bookman Old Style" w:hAnsi="Bookman Old Style"/>
          <w:sz w:val="22"/>
          <w:szCs w:val="22"/>
        </w:rPr>
        <w:t>di risorse regionali</w:t>
      </w:r>
      <w:r w:rsidR="000C647D">
        <w:rPr>
          <w:rFonts w:ascii="Bookman Old Style" w:hAnsi="Bookman Old Style"/>
          <w:sz w:val="22"/>
          <w:szCs w:val="22"/>
        </w:rPr>
        <w:t>,</w:t>
      </w:r>
      <w:r w:rsidR="0038348F" w:rsidRPr="00487096">
        <w:rPr>
          <w:rFonts w:ascii="Bookman Old Style" w:hAnsi="Bookman Old Style"/>
          <w:sz w:val="22"/>
          <w:szCs w:val="22"/>
        </w:rPr>
        <w:t xml:space="preserve"> </w:t>
      </w:r>
      <w:r w:rsidR="000E6443">
        <w:rPr>
          <w:rFonts w:ascii="Bookman Old Style" w:hAnsi="Bookman Old Style"/>
          <w:sz w:val="22"/>
          <w:szCs w:val="22"/>
        </w:rPr>
        <w:t>per i soli Comuni</w:t>
      </w:r>
      <w:r w:rsidR="000C647D">
        <w:rPr>
          <w:rFonts w:ascii="Bookman Old Style" w:hAnsi="Bookman Old Style"/>
          <w:sz w:val="22"/>
          <w:szCs w:val="22"/>
        </w:rPr>
        <w:t>,</w:t>
      </w:r>
      <w:r w:rsidR="000E6443">
        <w:rPr>
          <w:rFonts w:ascii="Bookman Old Style" w:hAnsi="Bookman Old Style"/>
          <w:sz w:val="22"/>
          <w:szCs w:val="22"/>
        </w:rPr>
        <w:t xml:space="preserve"> </w:t>
      </w:r>
      <w:r w:rsidR="0050092E" w:rsidRPr="00487096">
        <w:rPr>
          <w:rFonts w:ascii="Bookman Old Style" w:hAnsi="Bookman Old Style"/>
          <w:sz w:val="22"/>
          <w:szCs w:val="22"/>
        </w:rPr>
        <w:t xml:space="preserve">ai </w:t>
      </w:r>
      <w:r w:rsidR="00FC588A" w:rsidRPr="00487096">
        <w:rPr>
          <w:rFonts w:ascii="Bookman Old Style" w:hAnsi="Bookman Old Style"/>
          <w:sz w:val="22"/>
          <w:szCs w:val="22"/>
        </w:rPr>
        <w:t>330</w:t>
      </w:r>
      <w:r w:rsidR="0050092E" w:rsidRPr="00487096">
        <w:rPr>
          <w:rFonts w:ascii="Bookman Old Style" w:hAnsi="Bookman Old Style"/>
          <w:sz w:val="22"/>
          <w:szCs w:val="22"/>
        </w:rPr>
        <w:t xml:space="preserve"> milioni di euro del 20</w:t>
      </w:r>
      <w:r w:rsidR="00FC588A" w:rsidRPr="00487096">
        <w:rPr>
          <w:rFonts w:ascii="Bookman Old Style" w:hAnsi="Bookman Old Style"/>
          <w:sz w:val="22"/>
          <w:szCs w:val="22"/>
        </w:rPr>
        <w:t>21</w:t>
      </w:r>
      <w:r w:rsidR="0050092E" w:rsidRPr="00487096">
        <w:rPr>
          <w:rFonts w:ascii="Bookman Old Style" w:hAnsi="Bookman Old Style"/>
          <w:sz w:val="22"/>
          <w:szCs w:val="22"/>
        </w:rPr>
        <w:t xml:space="preserve">; </w:t>
      </w:r>
    </w:p>
    <w:p w14:paraId="03492D54" w14:textId="7E31334D" w:rsidR="0050092E" w:rsidRPr="00487096" w:rsidRDefault="00947B21" w:rsidP="00947B21">
      <w:pPr>
        <w:tabs>
          <w:tab w:val="center" w:pos="1620"/>
          <w:tab w:val="center" w:pos="7920"/>
        </w:tabs>
        <w:spacing w:after="120"/>
        <w:jc w:val="both"/>
        <w:rPr>
          <w:rFonts w:ascii="Bookman Old Style" w:hAnsi="Bookman Old Style" w:cs="Calibri"/>
          <w:sz w:val="22"/>
          <w:szCs w:val="22"/>
        </w:rPr>
      </w:pPr>
      <w:r w:rsidRPr="00487096">
        <w:rPr>
          <w:rFonts w:ascii="Bookman Old Style" w:hAnsi="Bookman Old Style"/>
          <w:b/>
          <w:bCs/>
          <w:sz w:val="22"/>
          <w:szCs w:val="22"/>
        </w:rPr>
        <w:t xml:space="preserve">CONSIDERATO </w:t>
      </w:r>
      <w:r w:rsidR="008839AA" w:rsidRPr="00487096">
        <w:rPr>
          <w:rStyle w:val="s2"/>
          <w:rFonts w:ascii="Bookman Old Style" w:hAnsi="Bookman Old Style"/>
        </w:rPr>
        <w:t>che</w:t>
      </w:r>
      <w:r w:rsidR="008839AA" w:rsidRPr="00487096">
        <w:rPr>
          <w:rFonts w:ascii="Bookman Old Style" w:hAnsi="Bookman Old Style"/>
          <w:color w:val="000000"/>
          <w:sz w:val="22"/>
          <w:szCs w:val="22"/>
        </w:rPr>
        <w:t xml:space="preserve"> </w:t>
      </w:r>
      <w:r w:rsidR="00782440" w:rsidRPr="00487096">
        <w:rPr>
          <w:rFonts w:ascii="Bookman Old Style" w:hAnsi="Bookman Old Style"/>
          <w:color w:val="000000"/>
          <w:sz w:val="22"/>
          <w:szCs w:val="22"/>
        </w:rPr>
        <w:t xml:space="preserve">la </w:t>
      </w:r>
      <w:r w:rsidR="008E031E" w:rsidRPr="00487096">
        <w:rPr>
          <w:rFonts w:ascii="Bookman Old Style" w:hAnsi="Bookman Old Style"/>
          <w:color w:val="000000"/>
          <w:sz w:val="22"/>
          <w:szCs w:val="22"/>
        </w:rPr>
        <w:t xml:space="preserve">mancata </w:t>
      </w:r>
      <w:r w:rsidR="00980414" w:rsidRPr="00487096">
        <w:rPr>
          <w:rFonts w:ascii="Bookman Old Style" w:hAnsi="Bookman Old Style"/>
          <w:color w:val="000000"/>
          <w:sz w:val="22"/>
          <w:szCs w:val="22"/>
        </w:rPr>
        <w:t xml:space="preserve">integrale </w:t>
      </w:r>
      <w:r w:rsidR="008E031E" w:rsidRPr="00487096">
        <w:rPr>
          <w:rFonts w:ascii="Bookman Old Style" w:hAnsi="Bookman Old Style"/>
          <w:color w:val="000000"/>
          <w:sz w:val="22"/>
          <w:szCs w:val="22"/>
        </w:rPr>
        <w:t xml:space="preserve">applicazione della </w:t>
      </w:r>
      <w:r w:rsidR="00782440" w:rsidRPr="00487096">
        <w:rPr>
          <w:rFonts w:ascii="Bookman Old Style" w:hAnsi="Bookman Old Style"/>
          <w:color w:val="000000"/>
          <w:sz w:val="22"/>
          <w:szCs w:val="22"/>
        </w:rPr>
        <w:t>L</w:t>
      </w:r>
      <w:r w:rsidR="008E031E" w:rsidRPr="00487096">
        <w:rPr>
          <w:rFonts w:ascii="Bookman Old Style" w:hAnsi="Bookman Old Style"/>
          <w:color w:val="000000"/>
          <w:sz w:val="22"/>
          <w:szCs w:val="22"/>
        </w:rPr>
        <w:t xml:space="preserve">egge </w:t>
      </w:r>
      <w:r w:rsidR="00782440" w:rsidRPr="00487096">
        <w:rPr>
          <w:rFonts w:ascii="Bookman Old Style" w:hAnsi="Bookman Old Style"/>
          <w:color w:val="000000"/>
          <w:sz w:val="22"/>
          <w:szCs w:val="22"/>
        </w:rPr>
        <w:t xml:space="preserve">5 maggio 2009, n. </w:t>
      </w:r>
      <w:r w:rsidR="008E031E" w:rsidRPr="00487096">
        <w:rPr>
          <w:rFonts w:ascii="Bookman Old Style" w:hAnsi="Bookman Old Style"/>
          <w:color w:val="000000"/>
          <w:sz w:val="22"/>
          <w:szCs w:val="22"/>
        </w:rPr>
        <w:t xml:space="preserve">42 </w:t>
      </w:r>
      <w:r w:rsidR="00980414" w:rsidRPr="004F2366">
        <w:rPr>
          <w:rFonts w:ascii="Bookman Old Style" w:hAnsi="Bookman Old Style"/>
          <w:color w:val="000000"/>
          <w:sz w:val="22"/>
          <w:szCs w:val="22"/>
        </w:rPr>
        <w:t>sul F</w:t>
      </w:r>
      <w:r w:rsidR="008E031E" w:rsidRPr="004F2366">
        <w:rPr>
          <w:rFonts w:ascii="Bookman Old Style" w:hAnsi="Bookman Old Style"/>
          <w:color w:val="000000"/>
          <w:sz w:val="22"/>
          <w:szCs w:val="22"/>
        </w:rPr>
        <w:t xml:space="preserve">ederalismo </w:t>
      </w:r>
      <w:r w:rsidR="00980414" w:rsidRPr="004F2366">
        <w:rPr>
          <w:rFonts w:ascii="Bookman Old Style" w:hAnsi="Bookman Old Style"/>
          <w:color w:val="000000"/>
          <w:sz w:val="22"/>
          <w:szCs w:val="22"/>
        </w:rPr>
        <w:t>F</w:t>
      </w:r>
      <w:r w:rsidR="008E031E" w:rsidRPr="004F2366">
        <w:rPr>
          <w:rFonts w:ascii="Bookman Old Style" w:hAnsi="Bookman Old Style"/>
          <w:color w:val="000000"/>
          <w:sz w:val="22"/>
          <w:szCs w:val="22"/>
        </w:rPr>
        <w:t>iscale</w:t>
      </w:r>
      <w:r w:rsidR="00782440" w:rsidRPr="004F2366">
        <w:rPr>
          <w:rFonts w:ascii="Bookman Old Style" w:hAnsi="Bookman Old Style"/>
          <w:color w:val="000000"/>
          <w:sz w:val="22"/>
          <w:szCs w:val="22"/>
        </w:rPr>
        <w:t xml:space="preserve"> </w:t>
      </w:r>
      <w:r w:rsidR="00030941" w:rsidRPr="004F2366">
        <w:rPr>
          <w:rFonts w:ascii="Bookman Old Style" w:hAnsi="Bookman Old Style"/>
          <w:color w:val="000000"/>
          <w:sz w:val="22"/>
          <w:szCs w:val="22"/>
        </w:rPr>
        <w:t xml:space="preserve">e </w:t>
      </w:r>
      <w:r w:rsidR="00577435" w:rsidRPr="004F2366">
        <w:rPr>
          <w:rFonts w:ascii="Bookman Old Style" w:hAnsi="Bookman Old Style"/>
          <w:sz w:val="22"/>
          <w:szCs w:val="22"/>
        </w:rPr>
        <w:t xml:space="preserve">la </w:t>
      </w:r>
      <w:r w:rsidR="00745944" w:rsidRPr="004F2366">
        <w:rPr>
          <w:rFonts w:ascii="Bookman Old Style" w:hAnsi="Bookman Old Style"/>
          <w:sz w:val="22"/>
          <w:szCs w:val="22"/>
        </w:rPr>
        <w:t xml:space="preserve">repentina </w:t>
      </w:r>
      <w:r w:rsidR="00577435" w:rsidRPr="004F2366">
        <w:rPr>
          <w:rFonts w:ascii="Bookman Old Style" w:hAnsi="Bookman Old Style"/>
          <w:sz w:val="22"/>
          <w:szCs w:val="22"/>
        </w:rPr>
        <w:t>trasformazione</w:t>
      </w:r>
      <w:r w:rsidR="0050092E" w:rsidRPr="004F2366">
        <w:rPr>
          <w:rFonts w:ascii="Bookman Old Style" w:hAnsi="Bookman Old Style"/>
          <w:sz w:val="22"/>
          <w:szCs w:val="22"/>
        </w:rPr>
        <w:t xml:space="preserve"> d</w:t>
      </w:r>
      <w:r w:rsidR="00577435" w:rsidRPr="004F2366">
        <w:rPr>
          <w:rFonts w:ascii="Bookman Old Style" w:hAnsi="Bookman Old Style"/>
          <w:sz w:val="22"/>
          <w:szCs w:val="22"/>
        </w:rPr>
        <w:t>i un</w:t>
      </w:r>
      <w:r w:rsidR="0050092E" w:rsidRPr="004F2366">
        <w:rPr>
          <w:rFonts w:ascii="Bookman Old Style" w:hAnsi="Bookman Old Style"/>
          <w:sz w:val="22"/>
          <w:szCs w:val="22"/>
        </w:rPr>
        <w:t xml:space="preserve"> sistema incentrato sulla finanza derivata all’attuale sistema interamente fondato sulla finanza propria e quindi sui tributi locali </w:t>
      </w:r>
      <w:r w:rsidR="0050092E" w:rsidRPr="00487096">
        <w:rPr>
          <w:rFonts w:ascii="Bookman Old Style" w:hAnsi="Bookman Old Style"/>
          <w:sz w:val="22"/>
          <w:szCs w:val="22"/>
        </w:rPr>
        <w:t>ha</w:t>
      </w:r>
      <w:r w:rsidR="00E508B9">
        <w:rPr>
          <w:rFonts w:ascii="Bookman Old Style" w:hAnsi="Bookman Old Style"/>
          <w:sz w:val="22"/>
          <w:szCs w:val="22"/>
        </w:rPr>
        <w:t>nno</w:t>
      </w:r>
      <w:r w:rsidR="0050092E" w:rsidRPr="00487096">
        <w:rPr>
          <w:rFonts w:ascii="Bookman Old Style" w:hAnsi="Bookman Old Style"/>
          <w:sz w:val="22"/>
          <w:szCs w:val="22"/>
        </w:rPr>
        <w:t xml:space="preserve"> prodotto effetti </w:t>
      </w:r>
      <w:r w:rsidR="00D31CA9">
        <w:rPr>
          <w:rFonts w:ascii="Bookman Old Style" w:hAnsi="Bookman Old Style"/>
          <w:sz w:val="22"/>
          <w:szCs w:val="22"/>
        </w:rPr>
        <w:t xml:space="preserve">non </w:t>
      </w:r>
      <w:r w:rsidR="0050092E" w:rsidRPr="00487096">
        <w:rPr>
          <w:rFonts w:ascii="Bookman Old Style" w:hAnsi="Bookman Old Style"/>
          <w:sz w:val="22"/>
          <w:szCs w:val="22"/>
        </w:rPr>
        <w:t>omogenei su tutto il territorio nazionale e ha</w:t>
      </w:r>
      <w:r w:rsidR="00C546D4">
        <w:rPr>
          <w:rFonts w:ascii="Bookman Old Style" w:hAnsi="Bookman Old Style"/>
          <w:sz w:val="22"/>
          <w:szCs w:val="22"/>
        </w:rPr>
        <w:t>nno</w:t>
      </w:r>
      <w:r w:rsidR="0050092E" w:rsidRPr="00487096">
        <w:rPr>
          <w:rFonts w:ascii="Bookman Old Style" w:hAnsi="Bookman Old Style"/>
          <w:sz w:val="22"/>
          <w:szCs w:val="22"/>
        </w:rPr>
        <w:t xml:space="preserve"> aggravato </w:t>
      </w:r>
      <w:r w:rsidR="00BF5D17" w:rsidRPr="00487096">
        <w:rPr>
          <w:rFonts w:ascii="Bookman Old Style" w:hAnsi="Bookman Old Style"/>
          <w:sz w:val="22"/>
          <w:szCs w:val="22"/>
        </w:rPr>
        <w:t>il divario</w:t>
      </w:r>
      <w:r w:rsidR="0050092E" w:rsidRPr="00487096">
        <w:rPr>
          <w:rFonts w:ascii="Bookman Old Style" w:hAnsi="Bookman Old Style"/>
          <w:sz w:val="22"/>
          <w:szCs w:val="22"/>
        </w:rPr>
        <w:t xml:space="preserve"> tra i Comuni delle regioni del </w:t>
      </w:r>
      <w:r w:rsidR="001334FC">
        <w:rPr>
          <w:rFonts w:ascii="Bookman Old Style" w:hAnsi="Bookman Old Style"/>
          <w:sz w:val="22"/>
          <w:szCs w:val="22"/>
        </w:rPr>
        <w:t>C</w:t>
      </w:r>
      <w:r w:rsidR="0050092E" w:rsidRPr="00487096">
        <w:rPr>
          <w:rFonts w:ascii="Bookman Old Style" w:hAnsi="Bookman Old Style"/>
          <w:sz w:val="22"/>
          <w:szCs w:val="22"/>
        </w:rPr>
        <w:t>entro-</w:t>
      </w:r>
      <w:r w:rsidR="001334FC">
        <w:rPr>
          <w:rFonts w:ascii="Bookman Old Style" w:hAnsi="Bookman Old Style"/>
          <w:sz w:val="22"/>
          <w:szCs w:val="22"/>
        </w:rPr>
        <w:t>N</w:t>
      </w:r>
      <w:r w:rsidR="0050092E" w:rsidRPr="00487096">
        <w:rPr>
          <w:rFonts w:ascii="Bookman Old Style" w:hAnsi="Bookman Old Style"/>
          <w:sz w:val="22"/>
          <w:szCs w:val="22"/>
        </w:rPr>
        <w:t xml:space="preserve">ord e i Comuni delle regioni del </w:t>
      </w:r>
      <w:r w:rsidR="001334FC">
        <w:rPr>
          <w:rFonts w:ascii="Bookman Old Style" w:hAnsi="Bookman Old Style"/>
          <w:sz w:val="22"/>
          <w:szCs w:val="22"/>
        </w:rPr>
        <w:t>S</w:t>
      </w:r>
      <w:r w:rsidR="0050092E" w:rsidRPr="00487096">
        <w:rPr>
          <w:rFonts w:ascii="Bookman Old Style" w:hAnsi="Bookman Old Style"/>
          <w:sz w:val="22"/>
          <w:szCs w:val="22"/>
        </w:rPr>
        <w:t xml:space="preserve">ud; </w:t>
      </w:r>
    </w:p>
    <w:p w14:paraId="0DED2525" w14:textId="7BFCC627" w:rsidR="00BC14F6" w:rsidRDefault="00BC14F6" w:rsidP="00BC14F6">
      <w:pPr>
        <w:tabs>
          <w:tab w:val="center" w:pos="1620"/>
          <w:tab w:val="center" w:pos="7920"/>
        </w:tabs>
        <w:spacing w:after="120"/>
        <w:jc w:val="both"/>
        <w:rPr>
          <w:rFonts w:ascii="Bookman Old Style" w:hAnsi="Bookman Old Style"/>
          <w:sz w:val="22"/>
          <w:szCs w:val="22"/>
        </w:rPr>
      </w:pPr>
      <w:r w:rsidRPr="00487096">
        <w:rPr>
          <w:rFonts w:ascii="Bookman Old Style" w:hAnsi="Bookman Old Style"/>
          <w:b/>
          <w:bCs/>
          <w:sz w:val="22"/>
          <w:szCs w:val="22"/>
        </w:rPr>
        <w:t xml:space="preserve">CONSIDERATO </w:t>
      </w:r>
      <w:r w:rsidR="008839AA" w:rsidRPr="00487096">
        <w:rPr>
          <w:rStyle w:val="s2"/>
          <w:rFonts w:ascii="Bookman Old Style" w:hAnsi="Bookman Old Style"/>
        </w:rPr>
        <w:t>che</w:t>
      </w:r>
      <w:r w:rsidRPr="00487096">
        <w:rPr>
          <w:rFonts w:ascii="Bookman Old Style" w:hAnsi="Bookman Old Style"/>
          <w:sz w:val="22"/>
          <w:szCs w:val="22"/>
        </w:rPr>
        <w:t xml:space="preserve"> la </w:t>
      </w:r>
      <w:r w:rsidRPr="004F2366">
        <w:rPr>
          <w:rFonts w:ascii="Bookman Old Style" w:hAnsi="Bookman Old Style"/>
          <w:sz w:val="22"/>
          <w:szCs w:val="22"/>
        </w:rPr>
        <w:t>Corte dei Conti</w:t>
      </w:r>
      <w:r w:rsidRPr="00487096">
        <w:rPr>
          <w:rFonts w:ascii="Bookman Old Style" w:hAnsi="Bookman Old Style"/>
          <w:sz w:val="22"/>
          <w:szCs w:val="22"/>
        </w:rPr>
        <w:t xml:space="preserve"> – Sezione Autonomie – già con la Delibera n. 29/2014 ha affermato con chiarezza che alle Autonomie Locali è stato chiesto “</w:t>
      </w:r>
      <w:r w:rsidRPr="00487096">
        <w:rPr>
          <w:rFonts w:ascii="Bookman Old Style" w:hAnsi="Bookman Old Style"/>
          <w:i/>
          <w:iCs/>
          <w:sz w:val="22"/>
          <w:szCs w:val="22"/>
        </w:rPr>
        <w:t>uno sforzo di risanamento non proporzionato all’entità delle risorse gestibili dalle stesse a vantaggio degli altri comparti amministrativi</w:t>
      </w:r>
      <w:r w:rsidRPr="00487096">
        <w:rPr>
          <w:rFonts w:ascii="Bookman Old Style" w:hAnsi="Bookman Old Style"/>
          <w:sz w:val="22"/>
          <w:szCs w:val="22"/>
        </w:rPr>
        <w:t xml:space="preserve">” e che in occasione del Giudizio di Parificazione del bilancio della Regione Siciliana (3 luglio 2014) la Corte dei Conti – Sezione Sicilia </w:t>
      </w:r>
      <w:r w:rsidR="00D35A04">
        <w:rPr>
          <w:rFonts w:ascii="Bookman Old Style" w:hAnsi="Bookman Old Style"/>
          <w:sz w:val="22"/>
          <w:szCs w:val="22"/>
        </w:rPr>
        <w:t xml:space="preserve">- </w:t>
      </w:r>
      <w:r w:rsidRPr="00487096">
        <w:rPr>
          <w:rFonts w:ascii="Bookman Old Style" w:hAnsi="Bookman Old Style"/>
          <w:sz w:val="22"/>
          <w:szCs w:val="22"/>
        </w:rPr>
        <w:t>ha evidenziato il “</w:t>
      </w:r>
      <w:r w:rsidRPr="00487096">
        <w:rPr>
          <w:rFonts w:ascii="Bookman Old Style" w:hAnsi="Bookman Old Style"/>
          <w:i/>
          <w:iCs/>
          <w:sz w:val="22"/>
          <w:szCs w:val="22"/>
        </w:rPr>
        <w:t>preoccupante peggioramento della finanza locale, imputabile principalmente alla progressiva e consistente riduzione dei trasferimenti di provenienza statale e regionale</w:t>
      </w:r>
      <w:r w:rsidRPr="00487096">
        <w:rPr>
          <w:rFonts w:ascii="Bookman Old Style" w:hAnsi="Bookman Old Style"/>
          <w:sz w:val="22"/>
          <w:szCs w:val="22"/>
        </w:rPr>
        <w:t>”;</w:t>
      </w:r>
    </w:p>
    <w:p w14:paraId="0E1ADC06" w14:textId="59B16CC8" w:rsidR="00B14C71" w:rsidRPr="00335B3F" w:rsidRDefault="00F65F08" w:rsidP="00BC14F6">
      <w:pPr>
        <w:tabs>
          <w:tab w:val="center" w:pos="1620"/>
          <w:tab w:val="center" w:pos="7920"/>
        </w:tabs>
        <w:spacing w:after="120"/>
        <w:jc w:val="both"/>
        <w:rPr>
          <w:rFonts w:ascii="Bookman Old Style" w:hAnsi="Bookman Old Style" w:cs="Calibri"/>
          <w:sz w:val="22"/>
          <w:szCs w:val="22"/>
        </w:rPr>
      </w:pPr>
      <w:r w:rsidRPr="00335B3F">
        <w:rPr>
          <w:rFonts w:ascii="Bookman Old Style" w:hAnsi="Bookman Old Style"/>
          <w:b/>
          <w:bCs/>
          <w:sz w:val="22"/>
          <w:szCs w:val="22"/>
        </w:rPr>
        <w:t xml:space="preserve">CONSIDERATO </w:t>
      </w:r>
      <w:r w:rsidRPr="00335B3F">
        <w:rPr>
          <w:rStyle w:val="s2"/>
          <w:rFonts w:ascii="Bookman Old Style" w:hAnsi="Bookman Old Style"/>
          <w:sz w:val="22"/>
          <w:szCs w:val="22"/>
        </w:rPr>
        <w:t>che</w:t>
      </w:r>
      <w:r w:rsidRPr="00335B3F">
        <w:rPr>
          <w:rFonts w:ascii="Bookman Old Style" w:hAnsi="Bookman Old Style"/>
          <w:sz w:val="22"/>
          <w:szCs w:val="22"/>
        </w:rPr>
        <w:t xml:space="preserve"> la </w:t>
      </w:r>
      <w:r w:rsidRPr="004F2366">
        <w:rPr>
          <w:rFonts w:ascii="Bookman Old Style" w:hAnsi="Bookman Old Style"/>
          <w:sz w:val="22"/>
          <w:szCs w:val="22"/>
        </w:rPr>
        <w:t>Corte dei Conti</w:t>
      </w:r>
      <w:r w:rsidRPr="00335B3F">
        <w:rPr>
          <w:rFonts w:ascii="Bookman Old Style" w:hAnsi="Bookman Old Style"/>
          <w:sz w:val="22"/>
          <w:szCs w:val="22"/>
        </w:rPr>
        <w:t xml:space="preserve"> – Sezione </w:t>
      </w:r>
      <w:r w:rsidR="00F96979" w:rsidRPr="00335B3F">
        <w:rPr>
          <w:rFonts w:ascii="Bookman Old Style" w:hAnsi="Bookman Old Style"/>
          <w:sz w:val="22"/>
          <w:szCs w:val="22"/>
        </w:rPr>
        <w:t>di controllo per la Regione Siciliana</w:t>
      </w:r>
      <w:r w:rsidRPr="00335B3F">
        <w:rPr>
          <w:rFonts w:ascii="Bookman Old Style" w:hAnsi="Bookman Old Style"/>
          <w:sz w:val="22"/>
          <w:szCs w:val="22"/>
        </w:rPr>
        <w:t xml:space="preserve"> – </w:t>
      </w:r>
      <w:r w:rsidR="00B06921">
        <w:rPr>
          <w:rFonts w:ascii="Bookman Old Style" w:hAnsi="Bookman Old Style"/>
          <w:sz w:val="22"/>
          <w:szCs w:val="22"/>
        </w:rPr>
        <w:t xml:space="preserve">anche </w:t>
      </w:r>
      <w:r w:rsidR="00D3288D" w:rsidRPr="00335B3F">
        <w:rPr>
          <w:rFonts w:ascii="Bookman Old Style" w:hAnsi="Bookman Old Style"/>
          <w:sz w:val="22"/>
          <w:szCs w:val="22"/>
        </w:rPr>
        <w:t xml:space="preserve">nella </w:t>
      </w:r>
      <w:r w:rsidR="00B06921">
        <w:rPr>
          <w:rFonts w:ascii="Bookman Old Style" w:hAnsi="Bookman Old Style"/>
          <w:sz w:val="22"/>
          <w:szCs w:val="22"/>
        </w:rPr>
        <w:t xml:space="preserve">recentissima </w:t>
      </w:r>
      <w:r w:rsidR="00D3288D" w:rsidRPr="00335B3F">
        <w:rPr>
          <w:rFonts w:ascii="Bookman Old Style" w:hAnsi="Bookman Old Style"/>
          <w:sz w:val="22"/>
          <w:szCs w:val="22"/>
        </w:rPr>
        <w:t xml:space="preserve">Relazione </w:t>
      </w:r>
      <w:r w:rsidR="00F96979" w:rsidRPr="00335B3F">
        <w:rPr>
          <w:rFonts w:ascii="Bookman Old Style" w:hAnsi="Bookman Old Style"/>
          <w:sz w:val="22"/>
          <w:szCs w:val="22"/>
        </w:rPr>
        <w:t xml:space="preserve">approvata con deliberazione n. 86/2020/GEST del 30 Giugno 2020 </w:t>
      </w:r>
      <w:r w:rsidR="00D3288D" w:rsidRPr="00335B3F">
        <w:rPr>
          <w:rFonts w:ascii="Bookman Old Style" w:hAnsi="Bookman Old Style"/>
          <w:sz w:val="22"/>
          <w:szCs w:val="22"/>
        </w:rPr>
        <w:t>“Finanza locale in Sicilia nel periodo 2017-2018</w:t>
      </w:r>
      <w:r w:rsidR="00953CF4" w:rsidRPr="00335B3F">
        <w:rPr>
          <w:rFonts w:ascii="Bookman Old Style" w:hAnsi="Bookman Old Style"/>
          <w:sz w:val="22"/>
          <w:szCs w:val="22"/>
        </w:rPr>
        <w:t xml:space="preserve">” </w:t>
      </w:r>
      <w:r w:rsidR="005C1585" w:rsidRPr="00335B3F">
        <w:rPr>
          <w:rFonts w:ascii="Bookman Old Style" w:hAnsi="Bookman Old Style"/>
          <w:sz w:val="22"/>
          <w:szCs w:val="22"/>
        </w:rPr>
        <w:t>sottolinea come “</w:t>
      </w:r>
      <w:r w:rsidR="005C1585" w:rsidRPr="00335B3F">
        <w:rPr>
          <w:rFonts w:ascii="Bookman Old Style" w:hAnsi="Bookman Old Style"/>
          <w:i/>
          <w:iCs/>
          <w:sz w:val="22"/>
          <w:szCs w:val="22"/>
        </w:rPr>
        <w:t xml:space="preserve">la </w:t>
      </w:r>
      <w:r w:rsidR="00B14C71" w:rsidRPr="00335B3F">
        <w:rPr>
          <w:rFonts w:ascii="Bookman Old Style" w:hAnsi="Bookman Old Style" w:cs="Calibri"/>
          <w:i/>
          <w:iCs/>
          <w:sz w:val="22"/>
          <w:szCs w:val="22"/>
        </w:rPr>
        <w:t>complessa situazione in cui si dibatte la finanza locale in Sicilia, soprattutto a cause delle difficoltà ad incrementare la capacità di riscossione delle entrate proprie, divenute il fulcro della gestione finanziaria a seguito delle drastica riduzione dei trasferimenti statali e delle</w:t>
      </w:r>
      <w:r w:rsidR="00ED4629" w:rsidRPr="00335B3F">
        <w:rPr>
          <w:rFonts w:ascii="Bookman Old Style" w:hAnsi="Bookman Old Style" w:cs="Calibri"/>
          <w:i/>
          <w:iCs/>
          <w:sz w:val="22"/>
          <w:szCs w:val="22"/>
        </w:rPr>
        <w:t xml:space="preserve"> difficolta del bilancio regionale, che rendono difficilmente prevedibile un incremento dei trasferimenti regionali a sostegno dei precari equilibri di bilancio degli enti locali siciliani, ancor più in ragione delle contingenze legate alla pandemia in corso ed all’insufficienza delle misur</w:t>
      </w:r>
      <w:r w:rsidR="009C72BB">
        <w:rPr>
          <w:rFonts w:ascii="Bookman Old Style" w:hAnsi="Bookman Old Style" w:cs="Calibri"/>
          <w:i/>
          <w:iCs/>
          <w:sz w:val="22"/>
          <w:szCs w:val="22"/>
        </w:rPr>
        <w:t>e</w:t>
      </w:r>
      <w:r w:rsidR="00ED4629" w:rsidRPr="00335B3F">
        <w:rPr>
          <w:rFonts w:ascii="Bookman Old Style" w:hAnsi="Bookman Old Style" w:cs="Calibri"/>
          <w:i/>
          <w:iCs/>
          <w:sz w:val="22"/>
          <w:szCs w:val="22"/>
        </w:rPr>
        <w:t xml:space="preserve"> di sostegno adottate sinora dallo Stato in favore delle amministrazioni locali, col rischio concreto di rendere sempre meno agevole l’erogazione dei servizi essenziali in favore dei cittadini</w:t>
      </w:r>
      <w:r w:rsidR="00335B3F" w:rsidRPr="00335B3F">
        <w:rPr>
          <w:rFonts w:ascii="Bookman Old Style" w:hAnsi="Bookman Old Style" w:cs="Calibri"/>
          <w:sz w:val="22"/>
          <w:szCs w:val="22"/>
        </w:rPr>
        <w:t>”</w:t>
      </w:r>
      <w:r w:rsidR="00804033">
        <w:rPr>
          <w:rFonts w:ascii="Bookman Old Style" w:hAnsi="Bookman Old Style" w:cs="Calibri"/>
          <w:sz w:val="22"/>
          <w:szCs w:val="22"/>
        </w:rPr>
        <w:t>;</w:t>
      </w:r>
    </w:p>
    <w:p w14:paraId="5FEE2D41" w14:textId="48062AFA" w:rsidR="000257AE" w:rsidRPr="00487096" w:rsidRDefault="00947B21" w:rsidP="00947B21">
      <w:pPr>
        <w:tabs>
          <w:tab w:val="center" w:pos="1620"/>
          <w:tab w:val="center" w:pos="7920"/>
        </w:tabs>
        <w:spacing w:after="120"/>
        <w:jc w:val="both"/>
        <w:rPr>
          <w:rFonts w:ascii="Bookman Old Style" w:hAnsi="Bookman Old Style"/>
          <w:sz w:val="22"/>
          <w:szCs w:val="22"/>
        </w:rPr>
      </w:pPr>
      <w:r w:rsidRPr="00487096">
        <w:rPr>
          <w:rFonts w:ascii="Bookman Old Style" w:hAnsi="Bookman Old Style"/>
          <w:b/>
          <w:bCs/>
          <w:sz w:val="22"/>
          <w:szCs w:val="22"/>
        </w:rPr>
        <w:t xml:space="preserve">CONSIDERATO </w:t>
      </w:r>
      <w:r w:rsidR="008839AA" w:rsidRPr="00487096">
        <w:rPr>
          <w:rStyle w:val="s2"/>
          <w:rFonts w:ascii="Bookman Old Style" w:hAnsi="Bookman Old Style"/>
        </w:rPr>
        <w:t>che</w:t>
      </w:r>
      <w:r w:rsidRPr="00487096">
        <w:rPr>
          <w:rFonts w:ascii="Bookman Old Style" w:hAnsi="Bookman Old Style"/>
          <w:sz w:val="22"/>
          <w:szCs w:val="22"/>
        </w:rPr>
        <w:t xml:space="preserve"> </w:t>
      </w:r>
      <w:r w:rsidR="00512F1E" w:rsidRPr="00487096">
        <w:rPr>
          <w:rFonts w:ascii="Bookman Old Style" w:hAnsi="Bookman Old Style"/>
          <w:sz w:val="22"/>
          <w:szCs w:val="22"/>
        </w:rPr>
        <w:t>in Sicilia</w:t>
      </w:r>
      <w:r w:rsidR="00030941" w:rsidRPr="00487096">
        <w:rPr>
          <w:rFonts w:ascii="Bookman Old Style" w:hAnsi="Bookman Old Style"/>
          <w:sz w:val="22"/>
          <w:szCs w:val="22"/>
        </w:rPr>
        <w:t>, in particolare,</w:t>
      </w:r>
      <w:r w:rsidR="0050092E" w:rsidRPr="00487096">
        <w:rPr>
          <w:rFonts w:ascii="Bookman Old Style" w:hAnsi="Bookman Old Style"/>
          <w:sz w:val="22"/>
          <w:szCs w:val="22"/>
        </w:rPr>
        <w:t xml:space="preserve"> si </w:t>
      </w:r>
      <w:r w:rsidR="00512F1E" w:rsidRPr="00487096">
        <w:rPr>
          <w:rFonts w:ascii="Bookman Old Style" w:hAnsi="Bookman Old Style"/>
          <w:sz w:val="22"/>
          <w:szCs w:val="22"/>
        </w:rPr>
        <w:t xml:space="preserve">è progressivamente </w:t>
      </w:r>
      <w:r w:rsidR="0050092E" w:rsidRPr="00487096">
        <w:rPr>
          <w:rFonts w:ascii="Bookman Old Style" w:hAnsi="Bookman Old Style"/>
          <w:sz w:val="22"/>
          <w:szCs w:val="22"/>
        </w:rPr>
        <w:t>registra</w:t>
      </w:r>
      <w:r w:rsidR="00512F1E" w:rsidRPr="00487096">
        <w:rPr>
          <w:rFonts w:ascii="Bookman Old Style" w:hAnsi="Bookman Old Style"/>
          <w:sz w:val="22"/>
          <w:szCs w:val="22"/>
        </w:rPr>
        <w:t>ta</w:t>
      </w:r>
      <w:r w:rsidR="0050092E" w:rsidRPr="00487096">
        <w:rPr>
          <w:rFonts w:ascii="Bookman Old Style" w:hAnsi="Bookman Old Style"/>
          <w:sz w:val="22"/>
          <w:szCs w:val="22"/>
        </w:rPr>
        <w:t xml:space="preserve"> </w:t>
      </w:r>
      <w:r w:rsidR="00C13B4D" w:rsidRPr="00487096">
        <w:rPr>
          <w:rFonts w:ascii="Bookman Old Style" w:hAnsi="Bookman Old Style"/>
          <w:sz w:val="22"/>
          <w:szCs w:val="22"/>
        </w:rPr>
        <w:t>un’</w:t>
      </w:r>
      <w:r w:rsidR="0050092E" w:rsidRPr="00487096">
        <w:rPr>
          <w:rFonts w:ascii="Bookman Old Style" w:hAnsi="Bookman Old Style"/>
          <w:sz w:val="22"/>
          <w:szCs w:val="22"/>
        </w:rPr>
        <w:t>impennata d</w:t>
      </w:r>
      <w:r w:rsidR="00C13B4D" w:rsidRPr="00487096">
        <w:rPr>
          <w:rFonts w:ascii="Bookman Old Style" w:hAnsi="Bookman Old Style"/>
          <w:sz w:val="22"/>
          <w:szCs w:val="22"/>
        </w:rPr>
        <w:t>e</w:t>
      </w:r>
      <w:r w:rsidR="0050092E" w:rsidRPr="00487096">
        <w:rPr>
          <w:rFonts w:ascii="Bookman Old Style" w:hAnsi="Bookman Old Style"/>
          <w:sz w:val="22"/>
          <w:szCs w:val="22"/>
        </w:rPr>
        <w:t xml:space="preserve">i Comuni in </w:t>
      </w:r>
      <w:r w:rsidR="0050092E" w:rsidRPr="004F2366">
        <w:rPr>
          <w:rFonts w:ascii="Bookman Old Style" w:hAnsi="Bookman Old Style"/>
          <w:sz w:val="22"/>
          <w:szCs w:val="22"/>
        </w:rPr>
        <w:t>dissesto, in predissesto e strutturalmente deficitari</w:t>
      </w:r>
      <w:r w:rsidR="00C16CBD" w:rsidRPr="00487096">
        <w:rPr>
          <w:rFonts w:ascii="Bookman Old Style" w:hAnsi="Bookman Old Style"/>
          <w:sz w:val="22"/>
          <w:szCs w:val="22"/>
        </w:rPr>
        <w:t xml:space="preserve"> e, più in generale, si è verificata una imponente contrazione </w:t>
      </w:r>
      <w:r w:rsidR="008D1733" w:rsidRPr="00487096">
        <w:rPr>
          <w:rFonts w:ascii="Bookman Old Style" w:hAnsi="Bookman Old Style"/>
          <w:sz w:val="22"/>
          <w:szCs w:val="22"/>
        </w:rPr>
        <w:t xml:space="preserve">delle risorse da destinare </w:t>
      </w:r>
      <w:r w:rsidR="008400C0" w:rsidRPr="00487096">
        <w:rPr>
          <w:rFonts w:ascii="Bookman Old Style" w:hAnsi="Bookman Old Style"/>
          <w:sz w:val="22"/>
          <w:szCs w:val="22"/>
        </w:rPr>
        <w:t>alla spesa sociale e agli altri servizi essenziali;</w:t>
      </w:r>
    </w:p>
    <w:p w14:paraId="7A2A19D8" w14:textId="56AD40A6" w:rsidR="00BC14F6" w:rsidRPr="00487096" w:rsidRDefault="00BC14F6" w:rsidP="00947B21">
      <w:pPr>
        <w:tabs>
          <w:tab w:val="center" w:pos="1620"/>
          <w:tab w:val="center" w:pos="7920"/>
        </w:tabs>
        <w:spacing w:after="120"/>
        <w:jc w:val="both"/>
        <w:rPr>
          <w:rFonts w:ascii="Bookman Old Style" w:hAnsi="Bookman Old Style" w:cs="Calibri"/>
          <w:sz w:val="22"/>
          <w:szCs w:val="22"/>
        </w:rPr>
      </w:pPr>
      <w:r w:rsidRPr="00487096">
        <w:rPr>
          <w:rFonts w:ascii="Bookman Old Style" w:hAnsi="Bookman Old Style"/>
          <w:b/>
          <w:bCs/>
          <w:sz w:val="22"/>
          <w:szCs w:val="22"/>
        </w:rPr>
        <w:t xml:space="preserve">CONSIDERATO </w:t>
      </w:r>
      <w:r w:rsidR="008839AA" w:rsidRPr="00487096">
        <w:rPr>
          <w:rStyle w:val="s2"/>
          <w:rFonts w:ascii="Bookman Old Style" w:hAnsi="Bookman Old Style"/>
        </w:rPr>
        <w:t>che</w:t>
      </w:r>
      <w:r w:rsidRPr="00487096">
        <w:rPr>
          <w:rFonts w:ascii="Bookman Old Style" w:hAnsi="Bookman Old Style"/>
          <w:sz w:val="22"/>
          <w:szCs w:val="22"/>
        </w:rPr>
        <w:t xml:space="preserve"> la concentrazione</w:t>
      </w:r>
      <w:r w:rsidR="00A7260B" w:rsidRPr="00487096">
        <w:rPr>
          <w:rFonts w:ascii="Bookman Old Style" w:hAnsi="Bookman Old Style"/>
          <w:sz w:val="22"/>
          <w:szCs w:val="22"/>
        </w:rPr>
        <w:t xml:space="preserve"> </w:t>
      </w:r>
      <w:r w:rsidR="00F168BD" w:rsidRPr="00487096">
        <w:rPr>
          <w:rFonts w:ascii="Bookman Old Style" w:hAnsi="Bookman Old Style"/>
          <w:sz w:val="22"/>
          <w:szCs w:val="22"/>
        </w:rPr>
        <w:t xml:space="preserve">nell’Isola, </w:t>
      </w:r>
      <w:r w:rsidR="00A7260B" w:rsidRPr="00487096">
        <w:rPr>
          <w:rFonts w:ascii="Bookman Old Style" w:hAnsi="Bookman Old Style"/>
          <w:sz w:val="22"/>
          <w:szCs w:val="22"/>
        </w:rPr>
        <w:t xml:space="preserve">più che in ogni altra Regione, </w:t>
      </w:r>
      <w:r w:rsidRPr="00487096">
        <w:rPr>
          <w:rFonts w:ascii="Bookman Old Style" w:hAnsi="Bookman Old Style"/>
          <w:sz w:val="22"/>
          <w:szCs w:val="22"/>
        </w:rPr>
        <w:t xml:space="preserve">di un numero così imponente di Comuni in condizione di </w:t>
      </w:r>
      <w:r w:rsidRPr="004F2366">
        <w:rPr>
          <w:rFonts w:ascii="Bookman Old Style" w:hAnsi="Bookman Old Style"/>
          <w:sz w:val="22"/>
          <w:szCs w:val="22"/>
        </w:rPr>
        <w:t>crisi finanziaria</w:t>
      </w:r>
      <w:r w:rsidRPr="00487096">
        <w:rPr>
          <w:rFonts w:ascii="Bookman Old Style" w:hAnsi="Bookman Old Style"/>
          <w:sz w:val="22"/>
          <w:szCs w:val="22"/>
        </w:rPr>
        <w:t xml:space="preserve"> rappresenta</w:t>
      </w:r>
      <w:r w:rsidR="00A7260B" w:rsidRPr="00487096">
        <w:rPr>
          <w:rFonts w:ascii="Bookman Old Style" w:hAnsi="Bookman Old Style"/>
          <w:sz w:val="22"/>
          <w:szCs w:val="22"/>
        </w:rPr>
        <w:t xml:space="preserve"> un </w:t>
      </w:r>
      <w:r w:rsidR="00F168BD" w:rsidRPr="00487096">
        <w:rPr>
          <w:rFonts w:ascii="Bookman Old Style" w:hAnsi="Bookman Old Style"/>
          <w:sz w:val="22"/>
          <w:szCs w:val="22"/>
        </w:rPr>
        <w:t>elemento strutturale e non risolvibile attraverso l’utilizzo degli strumenti normativi previsti dall’ordinamento del nostro Paese;</w:t>
      </w:r>
    </w:p>
    <w:p w14:paraId="07AD5A68" w14:textId="28FBD5F4" w:rsidR="00B15E31" w:rsidRPr="00487096" w:rsidRDefault="00947B21" w:rsidP="00947B21">
      <w:pPr>
        <w:pStyle w:val="p3"/>
        <w:spacing w:before="0" w:beforeAutospacing="0" w:after="120" w:afterAutospacing="0"/>
        <w:jc w:val="both"/>
        <w:rPr>
          <w:rFonts w:ascii="Bookman Old Style" w:hAnsi="Bookman Old Style"/>
        </w:rPr>
      </w:pPr>
      <w:bookmarkStart w:id="0" w:name="_Hlk73368749"/>
      <w:r w:rsidRPr="00487096">
        <w:rPr>
          <w:rFonts w:ascii="Bookman Old Style" w:hAnsi="Bookman Old Style"/>
          <w:b/>
          <w:bCs/>
        </w:rPr>
        <w:t xml:space="preserve">CONSIDERATO </w:t>
      </w:r>
      <w:r w:rsidR="008839AA" w:rsidRPr="00487096">
        <w:rPr>
          <w:rStyle w:val="s2"/>
          <w:rFonts w:ascii="Bookman Old Style" w:hAnsi="Bookman Old Style"/>
        </w:rPr>
        <w:t xml:space="preserve">che </w:t>
      </w:r>
      <w:r w:rsidR="00B15E31" w:rsidRPr="00487096">
        <w:rPr>
          <w:rStyle w:val="s2"/>
          <w:rFonts w:ascii="Bookman Old Style" w:hAnsi="Bookman Old Style"/>
        </w:rPr>
        <w:t>il bilancio</w:t>
      </w:r>
      <w:bookmarkEnd w:id="0"/>
      <w:r w:rsidR="00B15E31" w:rsidRPr="00487096">
        <w:rPr>
          <w:rStyle w:val="s2"/>
          <w:rFonts w:ascii="Bookman Old Style" w:hAnsi="Bookman Old Style"/>
        </w:rPr>
        <w:t xml:space="preserve"> di previsione </w:t>
      </w:r>
      <w:r w:rsidR="008839AA" w:rsidRPr="00487096">
        <w:rPr>
          <w:rStyle w:val="s2"/>
          <w:rFonts w:ascii="Bookman Old Style" w:hAnsi="Bookman Old Style"/>
        </w:rPr>
        <w:t>per gli Enti locali d</w:t>
      </w:r>
      <w:r w:rsidR="00A7260B" w:rsidRPr="00487096">
        <w:rPr>
          <w:rFonts w:ascii="Bookman Old Style" w:hAnsi="Bookman Old Style"/>
        </w:rPr>
        <w:t>ella Regione Siciliana</w:t>
      </w:r>
      <w:r w:rsidR="00A7260B" w:rsidRPr="00487096">
        <w:rPr>
          <w:rStyle w:val="s2"/>
          <w:rFonts w:ascii="Bookman Old Style" w:hAnsi="Bookman Old Style"/>
        </w:rPr>
        <w:t xml:space="preserve"> </w:t>
      </w:r>
      <w:r w:rsidR="009E484F" w:rsidRPr="00487096">
        <w:rPr>
          <w:rStyle w:val="s2"/>
          <w:rFonts w:ascii="Bookman Old Style" w:hAnsi="Bookman Old Style"/>
        </w:rPr>
        <w:t xml:space="preserve">ha progressivamente perso la sua natura di </w:t>
      </w:r>
      <w:r w:rsidR="00B15E31" w:rsidRPr="004F2366">
        <w:rPr>
          <w:rStyle w:val="s2"/>
          <w:rFonts w:ascii="Bookman Old Style" w:hAnsi="Bookman Old Style"/>
        </w:rPr>
        <w:t>strumento di programmazione</w:t>
      </w:r>
      <w:r w:rsidR="00B15E31" w:rsidRPr="00487096">
        <w:rPr>
          <w:rStyle w:val="s2"/>
          <w:rFonts w:ascii="Bookman Old Style" w:hAnsi="Bookman Old Style"/>
        </w:rPr>
        <w:t xml:space="preserve"> per pianificare </w:t>
      </w:r>
      <w:r w:rsidR="00B15E31" w:rsidRPr="00487096">
        <w:rPr>
          <w:rStyle w:val="s2"/>
          <w:rFonts w:ascii="Bookman Old Style" w:hAnsi="Bookman Old Style"/>
        </w:rPr>
        <w:lastRenderedPageBreak/>
        <w:t xml:space="preserve">investimenti nell’interesse della Comunità e garantire servizi </w:t>
      </w:r>
      <w:r w:rsidR="007067E0" w:rsidRPr="00487096">
        <w:rPr>
          <w:rFonts w:ascii="Bookman Old Style" w:hAnsi="Bookman Old Style"/>
        </w:rPr>
        <w:t>in favore di Cittadini e imprese;</w:t>
      </w:r>
    </w:p>
    <w:p w14:paraId="17AB1F05" w14:textId="2901AF48" w:rsidR="008839AA" w:rsidRPr="004F2366" w:rsidRDefault="008839AA" w:rsidP="00E012A3">
      <w:pPr>
        <w:spacing w:after="120"/>
        <w:jc w:val="both"/>
        <w:rPr>
          <w:rFonts w:ascii="Bookman Old Style" w:hAnsi="Bookman Old Style"/>
          <w:sz w:val="22"/>
          <w:szCs w:val="22"/>
        </w:rPr>
      </w:pPr>
      <w:r w:rsidRPr="00487096">
        <w:rPr>
          <w:rFonts w:ascii="Bookman Old Style" w:hAnsi="Bookman Old Style"/>
          <w:b/>
          <w:bCs/>
          <w:sz w:val="22"/>
          <w:szCs w:val="22"/>
        </w:rPr>
        <w:t xml:space="preserve">CONSIDERATO </w:t>
      </w:r>
      <w:r w:rsidRPr="00487096">
        <w:rPr>
          <w:rStyle w:val="s2"/>
          <w:rFonts w:ascii="Bookman Old Style" w:hAnsi="Bookman Old Style"/>
          <w:sz w:val="22"/>
          <w:szCs w:val="22"/>
        </w:rPr>
        <w:t xml:space="preserve">che il </w:t>
      </w:r>
      <w:r w:rsidR="008C1EC7" w:rsidRPr="00487096">
        <w:rPr>
          <w:rStyle w:val="s2"/>
          <w:rFonts w:ascii="Bookman Old Style" w:hAnsi="Bookman Old Style"/>
          <w:sz w:val="22"/>
          <w:szCs w:val="22"/>
        </w:rPr>
        <w:t xml:space="preserve">rispetto degli attuali vincoli normativi in materia di </w:t>
      </w:r>
      <w:r w:rsidR="003479A5" w:rsidRPr="00487096">
        <w:rPr>
          <w:rStyle w:val="s2"/>
          <w:rFonts w:ascii="Bookman Old Style" w:hAnsi="Bookman Old Style"/>
          <w:sz w:val="22"/>
          <w:szCs w:val="22"/>
        </w:rPr>
        <w:t>finanza locale</w:t>
      </w:r>
      <w:r w:rsidR="008C1EC7" w:rsidRPr="00487096">
        <w:rPr>
          <w:rStyle w:val="s2"/>
          <w:rFonts w:ascii="Bookman Old Style" w:hAnsi="Bookman Old Style"/>
          <w:sz w:val="22"/>
          <w:szCs w:val="22"/>
        </w:rPr>
        <w:t xml:space="preserve"> ha compromesso </w:t>
      </w:r>
      <w:r w:rsidR="003479A5" w:rsidRPr="00487096">
        <w:rPr>
          <w:rStyle w:val="s2"/>
          <w:rFonts w:ascii="Bookman Old Style" w:hAnsi="Bookman Old Style"/>
          <w:sz w:val="22"/>
          <w:szCs w:val="22"/>
        </w:rPr>
        <w:t xml:space="preserve">la possibilità di garantire, anche in Sicilia, </w:t>
      </w:r>
      <w:bookmarkStart w:id="1" w:name="_Hlk73370767"/>
      <w:r w:rsidR="003479A5" w:rsidRPr="00487096">
        <w:rPr>
          <w:rStyle w:val="s2"/>
          <w:rFonts w:ascii="Bookman Old Style" w:hAnsi="Bookman Old Style"/>
          <w:sz w:val="22"/>
          <w:szCs w:val="22"/>
        </w:rPr>
        <w:t xml:space="preserve">i </w:t>
      </w:r>
      <w:r w:rsidR="003479A5" w:rsidRPr="004F2366">
        <w:rPr>
          <w:rStyle w:val="s2"/>
          <w:rFonts w:ascii="Bookman Old Style" w:hAnsi="Bookman Old Style"/>
          <w:sz w:val="22"/>
          <w:szCs w:val="22"/>
        </w:rPr>
        <w:t xml:space="preserve">Livelli Essenziali delle Prestazioni (LEP); </w:t>
      </w:r>
    </w:p>
    <w:bookmarkEnd w:id="1"/>
    <w:p w14:paraId="3EEEFA87" w14:textId="1D843AB9" w:rsidR="00D06012" w:rsidRPr="00487096" w:rsidRDefault="00D06012" w:rsidP="00E012A3">
      <w:pPr>
        <w:spacing w:after="120"/>
        <w:jc w:val="both"/>
        <w:rPr>
          <w:rFonts w:ascii="Bookman Old Style" w:hAnsi="Bookman Old Style"/>
          <w:b/>
          <w:bCs/>
          <w:sz w:val="22"/>
          <w:szCs w:val="22"/>
        </w:rPr>
      </w:pPr>
      <w:r w:rsidRPr="00487096">
        <w:rPr>
          <w:rFonts w:ascii="Bookman Old Style" w:hAnsi="Bookman Old Style"/>
          <w:b/>
          <w:bCs/>
          <w:sz w:val="22"/>
          <w:szCs w:val="22"/>
        </w:rPr>
        <w:t xml:space="preserve">CONSIDERATO </w:t>
      </w:r>
      <w:r w:rsidRPr="00487096">
        <w:rPr>
          <w:rStyle w:val="s2"/>
          <w:rFonts w:ascii="Bookman Old Style" w:hAnsi="Bookman Old Style"/>
          <w:sz w:val="22"/>
          <w:szCs w:val="22"/>
        </w:rPr>
        <w:t xml:space="preserve">che </w:t>
      </w:r>
      <w:r w:rsidR="000B0971" w:rsidRPr="00487096">
        <w:rPr>
          <w:rStyle w:val="s2"/>
          <w:rFonts w:ascii="Bookman Old Style" w:hAnsi="Bookman Old Style"/>
          <w:sz w:val="22"/>
          <w:szCs w:val="22"/>
        </w:rPr>
        <w:t xml:space="preserve">in buona parte dei </w:t>
      </w:r>
      <w:r w:rsidR="000B0971" w:rsidRPr="004F2366">
        <w:rPr>
          <w:rStyle w:val="s2"/>
          <w:rFonts w:ascii="Bookman Old Style" w:hAnsi="Bookman Old Style"/>
          <w:sz w:val="22"/>
          <w:szCs w:val="22"/>
        </w:rPr>
        <w:t>Comuni di piccole dimension</w:t>
      </w:r>
      <w:r w:rsidR="003D54E6" w:rsidRPr="004F2366">
        <w:rPr>
          <w:rStyle w:val="s2"/>
          <w:rFonts w:ascii="Bookman Old Style" w:hAnsi="Bookman Old Style"/>
          <w:sz w:val="22"/>
          <w:szCs w:val="22"/>
        </w:rPr>
        <w:t>i</w:t>
      </w:r>
      <w:r w:rsidR="000B0971" w:rsidRPr="004F2366">
        <w:rPr>
          <w:rStyle w:val="s2"/>
          <w:rFonts w:ascii="Bookman Old Style" w:hAnsi="Bookman Old Style"/>
          <w:sz w:val="22"/>
          <w:szCs w:val="22"/>
        </w:rPr>
        <w:t xml:space="preserve"> demografiche</w:t>
      </w:r>
      <w:r w:rsidR="000B0971" w:rsidRPr="00487096">
        <w:rPr>
          <w:rStyle w:val="s2"/>
          <w:rFonts w:ascii="Bookman Old Style" w:hAnsi="Bookman Old Style"/>
          <w:sz w:val="22"/>
          <w:szCs w:val="22"/>
        </w:rPr>
        <w:t xml:space="preserve"> gli equilibri di bilancio possono essere garantiti solamente grazie ad un livello di trasferimenti regionali </w:t>
      </w:r>
      <w:r w:rsidR="00D934BD" w:rsidRPr="00487096">
        <w:rPr>
          <w:rStyle w:val="s2"/>
          <w:rFonts w:ascii="Bookman Old Style" w:hAnsi="Bookman Old Style"/>
          <w:sz w:val="22"/>
          <w:szCs w:val="22"/>
        </w:rPr>
        <w:t xml:space="preserve">particolarmente </w:t>
      </w:r>
      <w:r w:rsidR="000B0971" w:rsidRPr="00487096">
        <w:rPr>
          <w:rStyle w:val="s2"/>
          <w:rFonts w:ascii="Bookman Old Style" w:hAnsi="Bookman Old Style"/>
          <w:sz w:val="22"/>
          <w:szCs w:val="22"/>
        </w:rPr>
        <w:t>significativo;</w:t>
      </w:r>
    </w:p>
    <w:p w14:paraId="5EC219B6" w14:textId="405FCA8B" w:rsidR="00D80748" w:rsidRPr="00487096" w:rsidRDefault="00947B21" w:rsidP="006B244B">
      <w:pPr>
        <w:spacing w:after="120"/>
        <w:jc w:val="both"/>
        <w:rPr>
          <w:rFonts w:ascii="Bookman Old Style" w:hAnsi="Bookman Old Style"/>
          <w:sz w:val="22"/>
          <w:szCs w:val="22"/>
        </w:rPr>
      </w:pPr>
      <w:r w:rsidRPr="00487096">
        <w:rPr>
          <w:rFonts w:ascii="Bookman Old Style" w:hAnsi="Bookman Old Style"/>
          <w:b/>
          <w:bCs/>
          <w:sz w:val="22"/>
          <w:szCs w:val="22"/>
        </w:rPr>
        <w:t>PRESO ATTO</w:t>
      </w:r>
      <w:r w:rsidRPr="00487096">
        <w:rPr>
          <w:rFonts w:ascii="Bookman Old Style" w:hAnsi="Bookman Old Style"/>
          <w:sz w:val="22"/>
          <w:szCs w:val="22"/>
        </w:rPr>
        <w:t xml:space="preserve"> </w:t>
      </w:r>
      <w:r w:rsidR="0060082A" w:rsidRPr="00487096">
        <w:rPr>
          <w:rFonts w:ascii="Bookman Old Style" w:hAnsi="Bookman Old Style"/>
          <w:sz w:val="22"/>
          <w:szCs w:val="22"/>
        </w:rPr>
        <w:t xml:space="preserve">che </w:t>
      </w:r>
      <w:r w:rsidR="00D344CF">
        <w:rPr>
          <w:rFonts w:ascii="Bookman Old Style" w:hAnsi="Bookman Old Style"/>
          <w:sz w:val="22"/>
          <w:szCs w:val="22"/>
        </w:rPr>
        <w:t>i</w:t>
      </w:r>
      <w:r w:rsidR="006B244B" w:rsidRPr="006B244B">
        <w:rPr>
          <w:rFonts w:ascii="Bookman Old Style" w:hAnsi="Bookman Old Style"/>
          <w:sz w:val="22"/>
          <w:szCs w:val="22"/>
        </w:rPr>
        <w:t>l Consiglio Regionale dell'ANCI Sicilia, nelle sedute del 25 e 28 maggio 2021, ha invita</w:t>
      </w:r>
      <w:r w:rsidR="00CF0C89">
        <w:rPr>
          <w:rFonts w:ascii="Bookman Old Style" w:hAnsi="Bookman Old Style"/>
          <w:sz w:val="22"/>
          <w:szCs w:val="22"/>
        </w:rPr>
        <w:t>to</w:t>
      </w:r>
      <w:r w:rsidR="006B244B" w:rsidRPr="006B244B">
        <w:rPr>
          <w:rFonts w:ascii="Bookman Old Style" w:hAnsi="Bookman Old Style"/>
          <w:sz w:val="22"/>
          <w:szCs w:val="22"/>
        </w:rPr>
        <w:t xml:space="preserve"> i Comuni ad adottare una </w:t>
      </w:r>
      <w:r w:rsidR="006B244B" w:rsidRPr="004F2366">
        <w:rPr>
          <w:rFonts w:ascii="Bookman Old Style" w:hAnsi="Bookman Old Style"/>
          <w:sz w:val="22"/>
          <w:szCs w:val="22"/>
        </w:rPr>
        <w:t>delibera di Giunta Municipale</w:t>
      </w:r>
      <w:r w:rsidR="006B244B" w:rsidRPr="006B244B">
        <w:rPr>
          <w:rFonts w:ascii="Bookman Old Style" w:hAnsi="Bookman Old Style"/>
          <w:b/>
          <w:bCs/>
          <w:sz w:val="22"/>
          <w:szCs w:val="22"/>
        </w:rPr>
        <w:t xml:space="preserve"> </w:t>
      </w:r>
      <w:r w:rsidR="006B244B" w:rsidRPr="006B244B">
        <w:rPr>
          <w:rFonts w:ascii="Bookman Old Style" w:hAnsi="Bookman Old Style"/>
          <w:sz w:val="22"/>
          <w:szCs w:val="22"/>
        </w:rPr>
        <w:t>nella quale evidenziare gli elementi che rendono impossibile la predisposizione di tale strumento finanziario o che la rendano possibile solo a costo di forti penalizzazioni sul piano della spesa sociale e nell’offerta dei servizi essenziali per i cittadini, valutando anche di sospendere l’iter di approvazione del bilancio di previsione 2021/2023</w:t>
      </w:r>
      <w:r w:rsidR="00F42E9C">
        <w:rPr>
          <w:rFonts w:ascii="Bookman Old Style" w:hAnsi="Bookman Old Style"/>
          <w:sz w:val="22"/>
          <w:szCs w:val="22"/>
        </w:rPr>
        <w:t>;</w:t>
      </w:r>
    </w:p>
    <w:p w14:paraId="48CEBA71" w14:textId="061DB026" w:rsidR="001D65CA" w:rsidRPr="00487096" w:rsidRDefault="00623946" w:rsidP="006B244B">
      <w:pPr>
        <w:spacing w:after="120"/>
        <w:jc w:val="both"/>
        <w:rPr>
          <w:rFonts w:ascii="Bookman Old Style" w:hAnsi="Bookman Old Style"/>
          <w:sz w:val="22"/>
          <w:szCs w:val="22"/>
        </w:rPr>
      </w:pPr>
      <w:r w:rsidRPr="00487096">
        <w:rPr>
          <w:rFonts w:ascii="Bookman Old Style" w:hAnsi="Bookman Old Style"/>
          <w:b/>
          <w:bCs/>
          <w:sz w:val="22"/>
          <w:szCs w:val="22"/>
        </w:rPr>
        <w:t>RITENUTO</w:t>
      </w:r>
      <w:r w:rsidR="00D80748" w:rsidRPr="00487096">
        <w:rPr>
          <w:rFonts w:ascii="Bookman Old Style" w:hAnsi="Bookman Old Style"/>
          <w:b/>
          <w:bCs/>
          <w:sz w:val="22"/>
          <w:szCs w:val="22"/>
        </w:rPr>
        <w:t xml:space="preserve"> </w:t>
      </w:r>
      <w:r w:rsidR="00EA3C68">
        <w:rPr>
          <w:rFonts w:ascii="Bookman Old Style" w:hAnsi="Bookman Old Style"/>
          <w:sz w:val="22"/>
          <w:szCs w:val="22"/>
        </w:rPr>
        <w:t>di</w:t>
      </w:r>
      <w:r w:rsidR="00D80748" w:rsidRPr="00487096">
        <w:rPr>
          <w:rFonts w:ascii="Bookman Old Style" w:hAnsi="Bookman Old Style"/>
          <w:sz w:val="22"/>
          <w:szCs w:val="22"/>
        </w:rPr>
        <w:t xml:space="preserve"> aderire</w:t>
      </w:r>
      <w:r w:rsidR="00B47725" w:rsidRPr="00487096">
        <w:rPr>
          <w:rFonts w:ascii="Bookman Old Style" w:hAnsi="Bookman Old Style"/>
          <w:sz w:val="22"/>
          <w:szCs w:val="22"/>
        </w:rPr>
        <w:t xml:space="preserve"> </w:t>
      </w:r>
      <w:r w:rsidR="008036CD">
        <w:rPr>
          <w:rFonts w:ascii="Bookman Old Style" w:hAnsi="Bookman Old Style"/>
          <w:sz w:val="22"/>
          <w:szCs w:val="22"/>
        </w:rPr>
        <w:t xml:space="preserve">alle </w:t>
      </w:r>
      <w:r w:rsidR="00D80748" w:rsidRPr="00487096">
        <w:rPr>
          <w:rFonts w:ascii="Bookman Old Style" w:hAnsi="Bookman Old Style"/>
          <w:sz w:val="22"/>
          <w:szCs w:val="22"/>
        </w:rPr>
        <w:t>azion</w:t>
      </w:r>
      <w:r w:rsidR="008036CD">
        <w:rPr>
          <w:rFonts w:ascii="Bookman Old Style" w:hAnsi="Bookman Old Style"/>
          <w:sz w:val="22"/>
          <w:szCs w:val="22"/>
        </w:rPr>
        <w:t>i</w:t>
      </w:r>
      <w:r w:rsidR="00D80748" w:rsidRPr="00487096">
        <w:rPr>
          <w:rFonts w:ascii="Bookman Old Style" w:hAnsi="Bookman Old Style"/>
          <w:sz w:val="22"/>
          <w:szCs w:val="22"/>
        </w:rPr>
        <w:t xml:space="preserve"> di mobilitazione istituzionale</w:t>
      </w:r>
      <w:r w:rsidR="007A5D2B" w:rsidRPr="00487096">
        <w:rPr>
          <w:rFonts w:ascii="Bookman Old Style" w:hAnsi="Bookman Old Style"/>
          <w:sz w:val="22"/>
          <w:szCs w:val="22"/>
        </w:rPr>
        <w:t xml:space="preserve"> </w:t>
      </w:r>
      <w:r w:rsidR="00655696">
        <w:rPr>
          <w:rFonts w:ascii="Bookman Old Style" w:hAnsi="Bookman Old Style"/>
          <w:sz w:val="22"/>
          <w:szCs w:val="22"/>
        </w:rPr>
        <w:t>deliberate dal Consiglio Regionale</w:t>
      </w:r>
      <w:r w:rsidR="008036CD">
        <w:rPr>
          <w:rFonts w:ascii="Bookman Old Style" w:hAnsi="Bookman Old Style"/>
          <w:sz w:val="22"/>
          <w:szCs w:val="22"/>
        </w:rPr>
        <w:t xml:space="preserve"> dall’ANCI Sicilia</w:t>
      </w:r>
      <w:r w:rsidR="00777325">
        <w:rPr>
          <w:rFonts w:ascii="Bookman Old Style" w:hAnsi="Bookman Old Style"/>
          <w:sz w:val="22"/>
          <w:szCs w:val="22"/>
        </w:rPr>
        <w:t xml:space="preserve">, anche al fine di poter </w:t>
      </w:r>
      <w:r w:rsidR="00B47725" w:rsidRPr="00487096">
        <w:rPr>
          <w:rFonts w:ascii="Bookman Old Style" w:hAnsi="Bookman Old Style"/>
          <w:sz w:val="22"/>
          <w:szCs w:val="22"/>
        </w:rPr>
        <w:t>approvare</w:t>
      </w:r>
      <w:r w:rsidR="007A5D2B" w:rsidRPr="00487096">
        <w:rPr>
          <w:rFonts w:ascii="Bookman Old Style" w:hAnsi="Bookman Old Style"/>
          <w:sz w:val="22"/>
          <w:szCs w:val="22"/>
        </w:rPr>
        <w:t xml:space="preserve"> bilanci di previsione veritieri ed attendibili, ridando a tali fondamentali strumenti di programmazione un valore sostanziale di pianificazione dei servizi da assicurare ai Cittadini;</w:t>
      </w:r>
      <w:r w:rsidR="00D80748" w:rsidRPr="00487096">
        <w:rPr>
          <w:rFonts w:ascii="Bookman Old Style" w:hAnsi="Bookman Old Style"/>
          <w:sz w:val="22"/>
          <w:szCs w:val="22"/>
        </w:rPr>
        <w:t xml:space="preserve"> </w:t>
      </w:r>
    </w:p>
    <w:p w14:paraId="3916C1A1" w14:textId="1D8489B5" w:rsidR="000166BA" w:rsidRPr="00487096" w:rsidRDefault="003D45BB" w:rsidP="00E012A3">
      <w:pPr>
        <w:spacing w:after="120"/>
        <w:jc w:val="both"/>
        <w:rPr>
          <w:rFonts w:ascii="Bookman Old Style" w:hAnsi="Bookman Old Style"/>
          <w:sz w:val="22"/>
          <w:szCs w:val="22"/>
        </w:rPr>
      </w:pPr>
      <w:r w:rsidRPr="00487096">
        <w:rPr>
          <w:rFonts w:ascii="Bookman Old Style" w:hAnsi="Bookman Old Style"/>
          <w:b/>
          <w:bCs/>
          <w:sz w:val="22"/>
          <w:szCs w:val="22"/>
        </w:rPr>
        <w:t>RILEVATO</w:t>
      </w:r>
      <w:r w:rsidR="001D65CA" w:rsidRPr="00487096">
        <w:rPr>
          <w:rFonts w:ascii="Bookman Old Style" w:hAnsi="Bookman Old Style"/>
          <w:sz w:val="22"/>
          <w:szCs w:val="22"/>
        </w:rPr>
        <w:t xml:space="preserve"> che</w:t>
      </w:r>
      <w:r w:rsidR="00B47725" w:rsidRPr="00487096">
        <w:rPr>
          <w:rFonts w:ascii="Bookman Old Style" w:hAnsi="Bookman Old Style"/>
          <w:sz w:val="22"/>
          <w:szCs w:val="22"/>
        </w:rPr>
        <w:t xml:space="preserve"> </w:t>
      </w:r>
      <w:r w:rsidR="009F3314">
        <w:rPr>
          <w:rFonts w:ascii="Bookman Old Style" w:hAnsi="Bookman Old Style"/>
          <w:sz w:val="22"/>
          <w:szCs w:val="22"/>
        </w:rPr>
        <w:t>le difficoltà nell’approvazione dei bilanci</w:t>
      </w:r>
      <w:r w:rsidR="009D4B3D">
        <w:rPr>
          <w:rFonts w:ascii="Bookman Old Style" w:hAnsi="Bookman Old Style"/>
          <w:sz w:val="22"/>
          <w:szCs w:val="22"/>
        </w:rPr>
        <w:t xml:space="preserve">, oltre che per le motivazioni esposte in premessa sulla </w:t>
      </w:r>
      <w:r w:rsidR="00427D6F" w:rsidRPr="00487096">
        <w:rPr>
          <w:rFonts w:ascii="Bookman Old Style" w:hAnsi="Bookman Old Style"/>
          <w:sz w:val="22"/>
          <w:szCs w:val="22"/>
        </w:rPr>
        <w:t>delineata drammatica situazione economico-finanziaria,</w:t>
      </w:r>
      <w:r w:rsidR="000166BA" w:rsidRPr="00487096">
        <w:rPr>
          <w:rFonts w:ascii="Bookman Old Style" w:hAnsi="Bookman Old Style"/>
          <w:sz w:val="22"/>
          <w:szCs w:val="22"/>
        </w:rPr>
        <w:t xml:space="preserve"> afferiscono</w:t>
      </w:r>
      <w:r w:rsidR="00F24B6D">
        <w:rPr>
          <w:rFonts w:ascii="Bookman Old Style" w:hAnsi="Bookman Old Style"/>
          <w:sz w:val="22"/>
          <w:szCs w:val="22"/>
        </w:rPr>
        <w:t xml:space="preserve">, tra l’altro, </w:t>
      </w:r>
      <w:r w:rsidR="000166BA" w:rsidRPr="00487096">
        <w:rPr>
          <w:rFonts w:ascii="Bookman Old Style" w:hAnsi="Bookman Old Style"/>
          <w:sz w:val="22"/>
          <w:szCs w:val="22"/>
        </w:rPr>
        <w:t>alle seguenti fattispecie:</w:t>
      </w:r>
    </w:p>
    <w:p w14:paraId="40127226" w14:textId="77777777" w:rsidR="00E16A80" w:rsidRPr="00487096" w:rsidRDefault="00E16A80" w:rsidP="00E16A80">
      <w:pPr>
        <w:pStyle w:val="Nessunaspaziatura"/>
        <w:spacing w:after="120"/>
        <w:jc w:val="both"/>
        <w:rPr>
          <w:rFonts w:ascii="Bookman Old Style" w:hAnsi="Bookman Old Style"/>
          <w:b/>
          <w:bCs/>
          <w:i/>
          <w:iCs/>
          <w:sz w:val="22"/>
          <w:szCs w:val="22"/>
        </w:rPr>
      </w:pPr>
      <w:r w:rsidRPr="00487096">
        <w:rPr>
          <w:rFonts w:ascii="Bookman Old Style" w:hAnsi="Bookman Old Style"/>
          <w:b/>
          <w:bCs/>
          <w:i/>
          <w:iCs/>
          <w:sz w:val="22"/>
          <w:szCs w:val="22"/>
        </w:rPr>
        <w:t xml:space="preserve">Trasferimenti statali e regionali  </w:t>
      </w:r>
    </w:p>
    <w:p w14:paraId="1EB1FDBD" w14:textId="206EDB67" w:rsidR="00E16A80" w:rsidRPr="00487096" w:rsidRDefault="00BB43CF" w:rsidP="00E16A80">
      <w:pPr>
        <w:pStyle w:val="Nessunaspaziatura"/>
        <w:spacing w:after="120"/>
        <w:ind w:left="709"/>
        <w:jc w:val="both"/>
        <w:rPr>
          <w:rFonts w:ascii="Bookman Old Style" w:hAnsi="Bookman Old Style"/>
          <w:sz w:val="22"/>
          <w:szCs w:val="22"/>
        </w:rPr>
      </w:pPr>
      <w:r>
        <w:rPr>
          <w:rFonts w:ascii="Bookman Old Style" w:hAnsi="Bookman Old Style"/>
          <w:sz w:val="22"/>
          <w:szCs w:val="22"/>
        </w:rPr>
        <w:t>L</w:t>
      </w:r>
      <w:r w:rsidR="00234ED9">
        <w:rPr>
          <w:rFonts w:ascii="Bookman Old Style" w:hAnsi="Bookman Old Style"/>
          <w:sz w:val="22"/>
          <w:szCs w:val="22"/>
        </w:rPr>
        <w:t xml:space="preserve">a </w:t>
      </w:r>
      <w:r w:rsidR="00E16A80" w:rsidRPr="00487096">
        <w:rPr>
          <w:rFonts w:ascii="Bookman Old Style" w:hAnsi="Bookman Old Style"/>
          <w:sz w:val="22"/>
          <w:szCs w:val="22"/>
        </w:rPr>
        <w:t xml:space="preserve">costante </w:t>
      </w:r>
      <w:r w:rsidR="00234ED9">
        <w:rPr>
          <w:rFonts w:ascii="Bookman Old Style" w:hAnsi="Bookman Old Style"/>
          <w:sz w:val="22"/>
          <w:szCs w:val="22"/>
        </w:rPr>
        <w:t>diminuzione d</w:t>
      </w:r>
      <w:r w:rsidR="00E16A80" w:rsidRPr="00487096">
        <w:rPr>
          <w:rFonts w:ascii="Bookman Old Style" w:hAnsi="Bookman Old Style"/>
          <w:sz w:val="22"/>
          <w:szCs w:val="22"/>
        </w:rPr>
        <w:t xml:space="preserve">ei trasferimenti statali e regionali </w:t>
      </w:r>
      <w:r w:rsidR="00234ED9">
        <w:rPr>
          <w:rFonts w:ascii="Bookman Old Style" w:hAnsi="Bookman Old Style"/>
          <w:sz w:val="22"/>
          <w:szCs w:val="22"/>
        </w:rPr>
        <w:t>ed</w:t>
      </w:r>
      <w:r w:rsidR="00234ED9" w:rsidRPr="00234ED9">
        <w:rPr>
          <w:rFonts w:ascii="Bookman Old Style" w:hAnsi="Bookman Old Style"/>
          <w:sz w:val="22"/>
          <w:szCs w:val="22"/>
        </w:rPr>
        <w:t xml:space="preserve"> </w:t>
      </w:r>
      <w:r w:rsidR="00234ED9">
        <w:rPr>
          <w:rFonts w:ascii="Bookman Old Style" w:hAnsi="Bookman Old Style"/>
          <w:sz w:val="22"/>
          <w:szCs w:val="22"/>
        </w:rPr>
        <w:t xml:space="preserve">il </w:t>
      </w:r>
      <w:r w:rsidR="00234ED9" w:rsidRPr="00487096">
        <w:rPr>
          <w:rFonts w:ascii="Bookman Old Style" w:hAnsi="Bookman Old Style"/>
          <w:sz w:val="22"/>
          <w:szCs w:val="22"/>
        </w:rPr>
        <w:t>ritardo</w:t>
      </w:r>
      <w:r w:rsidR="00234ED9">
        <w:rPr>
          <w:rFonts w:ascii="Bookman Old Style" w:hAnsi="Bookman Old Style"/>
          <w:sz w:val="22"/>
          <w:szCs w:val="22"/>
        </w:rPr>
        <w:t xml:space="preserve"> nell’erogazione degli stessi che </w:t>
      </w:r>
      <w:r w:rsidR="00E16A80" w:rsidRPr="00487096">
        <w:rPr>
          <w:rFonts w:ascii="Bookman Old Style" w:hAnsi="Bookman Old Style"/>
          <w:sz w:val="22"/>
          <w:szCs w:val="22"/>
        </w:rPr>
        <w:t>provoca</w:t>
      </w:r>
      <w:r w:rsidR="00234ED9">
        <w:rPr>
          <w:rFonts w:ascii="Bookman Old Style" w:hAnsi="Bookman Old Style"/>
          <w:sz w:val="22"/>
          <w:szCs w:val="22"/>
        </w:rPr>
        <w:t>, tra l’altro,</w:t>
      </w:r>
      <w:r w:rsidR="00E16A80" w:rsidRPr="00487096">
        <w:rPr>
          <w:rFonts w:ascii="Bookman Old Style" w:hAnsi="Bookman Old Style"/>
          <w:sz w:val="22"/>
          <w:szCs w:val="22"/>
        </w:rPr>
        <w:t xml:space="preserve"> una continua carenza di liquidità e conseguentemente il maturare di interessi passivi a carico del bilancio, per via del necessario ricorso all’anticipazione di tesoreria</w:t>
      </w:r>
      <w:r w:rsidR="00BE781A">
        <w:rPr>
          <w:rFonts w:ascii="Bookman Old Style" w:hAnsi="Bookman Old Style"/>
          <w:sz w:val="22"/>
          <w:szCs w:val="22"/>
        </w:rPr>
        <w:t>;</w:t>
      </w:r>
    </w:p>
    <w:p w14:paraId="5E33F085" w14:textId="490991F9" w:rsidR="00F53C96" w:rsidRPr="00487096" w:rsidRDefault="00205B9F" w:rsidP="00E012A3">
      <w:pPr>
        <w:spacing w:after="120"/>
        <w:jc w:val="both"/>
        <w:rPr>
          <w:rFonts w:ascii="Bookman Old Style" w:hAnsi="Bookman Old Style"/>
          <w:b/>
          <w:bCs/>
          <w:i/>
          <w:iCs/>
          <w:sz w:val="22"/>
          <w:szCs w:val="22"/>
        </w:rPr>
      </w:pPr>
      <w:r w:rsidRPr="00487096">
        <w:rPr>
          <w:rFonts w:ascii="Bookman Old Style" w:hAnsi="Bookman Old Style"/>
          <w:b/>
          <w:bCs/>
          <w:i/>
          <w:iCs/>
          <w:sz w:val="22"/>
          <w:szCs w:val="22"/>
        </w:rPr>
        <w:t>A</w:t>
      </w:r>
      <w:r w:rsidR="00F53C96" w:rsidRPr="00487096">
        <w:rPr>
          <w:rFonts w:ascii="Bookman Old Style" w:hAnsi="Bookman Old Style"/>
          <w:b/>
          <w:bCs/>
          <w:i/>
          <w:iCs/>
          <w:sz w:val="22"/>
          <w:szCs w:val="22"/>
        </w:rPr>
        <w:t>ccertamento e riscossione dei Tributi locali</w:t>
      </w:r>
    </w:p>
    <w:p w14:paraId="53EA6B5C" w14:textId="77777777" w:rsidR="002F586A" w:rsidRDefault="00205B9F" w:rsidP="00BE781A">
      <w:pPr>
        <w:spacing w:after="120"/>
        <w:ind w:left="708"/>
        <w:jc w:val="both"/>
        <w:rPr>
          <w:rFonts w:ascii="Bookman Old Style" w:hAnsi="Bookman Old Style"/>
          <w:sz w:val="22"/>
          <w:szCs w:val="22"/>
        </w:rPr>
      </w:pPr>
      <w:r w:rsidRPr="00487096">
        <w:rPr>
          <w:rFonts w:ascii="Bookman Old Style" w:hAnsi="Bookman Old Style"/>
          <w:sz w:val="22"/>
          <w:szCs w:val="22"/>
        </w:rPr>
        <w:t>Forti limiti nel</w:t>
      </w:r>
      <w:r w:rsidR="000F132A">
        <w:rPr>
          <w:rFonts w:ascii="Bookman Old Style" w:hAnsi="Bookman Old Style"/>
          <w:sz w:val="22"/>
          <w:szCs w:val="22"/>
        </w:rPr>
        <w:t xml:space="preserve"> s</w:t>
      </w:r>
      <w:r w:rsidRPr="00487096">
        <w:rPr>
          <w:rFonts w:ascii="Bookman Old Style" w:hAnsi="Bookman Old Style"/>
          <w:sz w:val="22"/>
          <w:szCs w:val="22"/>
        </w:rPr>
        <w:t>istema di accertamento e riscossione dei tributi locali anche a causa dell’assoluta inefficacia di Riscossione Sicilia S.p.A.</w:t>
      </w:r>
    </w:p>
    <w:p w14:paraId="5EF66123" w14:textId="65AA6F00" w:rsidR="00234ED9" w:rsidRPr="00487096" w:rsidRDefault="00234ED9" w:rsidP="00BE781A">
      <w:pPr>
        <w:spacing w:after="120"/>
        <w:ind w:left="708"/>
        <w:jc w:val="both"/>
        <w:rPr>
          <w:rFonts w:ascii="Bookman Old Style" w:hAnsi="Bookman Old Style"/>
          <w:sz w:val="22"/>
          <w:szCs w:val="22"/>
        </w:rPr>
      </w:pPr>
      <w:r>
        <w:rPr>
          <w:rFonts w:ascii="Bookman Old Style" w:hAnsi="Bookman Old Style"/>
          <w:sz w:val="22"/>
          <w:szCs w:val="22"/>
        </w:rPr>
        <w:t>I</w:t>
      </w:r>
      <w:r w:rsidRPr="00487096">
        <w:rPr>
          <w:rFonts w:ascii="Bookman Old Style" w:hAnsi="Bookman Old Style"/>
          <w:sz w:val="22"/>
          <w:szCs w:val="22"/>
        </w:rPr>
        <w:t xml:space="preserve">n questo momento di crisi pandemica, </w:t>
      </w:r>
      <w:r>
        <w:rPr>
          <w:rFonts w:ascii="Bookman Old Style" w:hAnsi="Bookman Old Style"/>
          <w:sz w:val="22"/>
          <w:szCs w:val="22"/>
        </w:rPr>
        <w:t xml:space="preserve">in particolare, si </w:t>
      </w:r>
      <w:r w:rsidRPr="00487096">
        <w:rPr>
          <w:rFonts w:ascii="Bookman Old Style" w:hAnsi="Bookman Old Style"/>
          <w:sz w:val="22"/>
          <w:szCs w:val="22"/>
        </w:rPr>
        <w:t xml:space="preserve">registra un forte rallentamento nella riscossione dei crediti </w:t>
      </w:r>
      <w:r>
        <w:rPr>
          <w:rFonts w:ascii="Bookman Old Style" w:hAnsi="Bookman Old Style"/>
          <w:sz w:val="22"/>
          <w:szCs w:val="22"/>
        </w:rPr>
        <w:t>che costring</w:t>
      </w:r>
      <w:r w:rsidRPr="00487096">
        <w:rPr>
          <w:rFonts w:ascii="Bookman Old Style" w:hAnsi="Bookman Old Style"/>
          <w:sz w:val="22"/>
          <w:szCs w:val="22"/>
        </w:rPr>
        <w:t>e</w:t>
      </w:r>
      <w:r>
        <w:rPr>
          <w:rFonts w:ascii="Bookman Old Style" w:hAnsi="Bookman Old Style"/>
          <w:sz w:val="22"/>
          <w:szCs w:val="22"/>
        </w:rPr>
        <w:t xml:space="preserve"> l’Ente </w:t>
      </w:r>
      <w:r w:rsidRPr="00487096">
        <w:rPr>
          <w:rFonts w:ascii="Bookman Old Style" w:hAnsi="Bookman Old Style"/>
          <w:sz w:val="22"/>
          <w:szCs w:val="22"/>
        </w:rPr>
        <w:t>a ricorrere sistematicamente all’anticipazione di tesoreria per onorare gli impegni assunti con i creditori, e ciò comporta il maturare di interessi passivi a carico del bilancio comunale, nonché un maggiore accantonamento di somme al fondo crediti di dubbia esigibilità</w:t>
      </w:r>
      <w:r w:rsidR="00501F81">
        <w:rPr>
          <w:rFonts w:ascii="Bookman Old Style" w:hAnsi="Bookman Old Style"/>
          <w:sz w:val="22"/>
          <w:szCs w:val="22"/>
        </w:rPr>
        <w:t>;</w:t>
      </w:r>
    </w:p>
    <w:p w14:paraId="13635EAA" w14:textId="77777777" w:rsidR="001D65CA" w:rsidRPr="00487096" w:rsidRDefault="001D65CA" w:rsidP="00E012A3">
      <w:pPr>
        <w:spacing w:after="120"/>
        <w:jc w:val="both"/>
        <w:rPr>
          <w:rFonts w:ascii="Bookman Old Style" w:hAnsi="Bookman Old Style"/>
          <w:b/>
          <w:bCs/>
          <w:i/>
          <w:iCs/>
          <w:sz w:val="22"/>
          <w:szCs w:val="22"/>
        </w:rPr>
      </w:pPr>
      <w:r w:rsidRPr="00487096">
        <w:rPr>
          <w:rFonts w:ascii="Bookman Old Style" w:hAnsi="Bookman Old Style"/>
          <w:b/>
          <w:bCs/>
          <w:i/>
          <w:iCs/>
          <w:sz w:val="22"/>
          <w:szCs w:val="22"/>
        </w:rPr>
        <w:t xml:space="preserve">Fondo crediti di dubbia esigibilità </w:t>
      </w:r>
      <w:r w:rsidR="000166BA" w:rsidRPr="00487096">
        <w:rPr>
          <w:rFonts w:ascii="Bookman Old Style" w:hAnsi="Bookman Old Style"/>
          <w:b/>
          <w:bCs/>
          <w:i/>
          <w:iCs/>
          <w:sz w:val="22"/>
          <w:szCs w:val="22"/>
        </w:rPr>
        <w:t>(FCDE)</w:t>
      </w:r>
    </w:p>
    <w:p w14:paraId="66335C00" w14:textId="2231D1D2" w:rsidR="000166BA" w:rsidRPr="00487096" w:rsidRDefault="000166BA" w:rsidP="00E012A3">
      <w:pPr>
        <w:spacing w:after="120"/>
        <w:ind w:left="851" w:hanging="131"/>
        <w:jc w:val="both"/>
        <w:rPr>
          <w:rFonts w:ascii="Bookman Old Style" w:hAnsi="Bookman Old Style"/>
          <w:sz w:val="22"/>
          <w:szCs w:val="22"/>
        </w:rPr>
      </w:pPr>
      <w:bookmarkStart w:id="2" w:name="_Hlk73209387"/>
      <w:r w:rsidRPr="00487096">
        <w:rPr>
          <w:rFonts w:ascii="Bookman Old Style" w:hAnsi="Bookman Old Style"/>
          <w:sz w:val="22"/>
          <w:szCs w:val="22"/>
        </w:rPr>
        <w:t>Riferimento punto 3.3 del principio applicato 4/2 D.Lgs. 118/2011 e</w:t>
      </w:r>
      <w:r w:rsidR="00FF4242">
        <w:rPr>
          <w:rFonts w:ascii="Bookman Old Style" w:hAnsi="Bookman Old Style"/>
          <w:sz w:val="22"/>
          <w:szCs w:val="22"/>
        </w:rPr>
        <w:t>d</w:t>
      </w:r>
      <w:r w:rsidRPr="00487096">
        <w:rPr>
          <w:rFonts w:ascii="Bookman Old Style" w:hAnsi="Bookman Old Style"/>
          <w:sz w:val="22"/>
          <w:szCs w:val="22"/>
        </w:rPr>
        <w:t xml:space="preserve"> esempio n. 5</w:t>
      </w:r>
      <w:r w:rsidR="00427D6F" w:rsidRPr="00487096">
        <w:rPr>
          <w:rFonts w:ascii="Bookman Old Style" w:hAnsi="Bookman Old Style"/>
          <w:sz w:val="22"/>
          <w:szCs w:val="22"/>
        </w:rPr>
        <w:t>.</w:t>
      </w:r>
    </w:p>
    <w:p w14:paraId="5B5D4756" w14:textId="77777777" w:rsidR="000166BA" w:rsidRPr="00487096" w:rsidRDefault="000166BA" w:rsidP="00E012A3">
      <w:pPr>
        <w:pStyle w:val="Nessunaspaziatura"/>
        <w:spacing w:after="120"/>
        <w:ind w:left="709" w:firstLine="11"/>
        <w:jc w:val="both"/>
        <w:rPr>
          <w:rFonts w:ascii="Bookman Old Style" w:hAnsi="Bookman Old Style"/>
          <w:sz w:val="22"/>
          <w:szCs w:val="22"/>
        </w:rPr>
      </w:pPr>
      <w:r w:rsidRPr="00487096">
        <w:rPr>
          <w:rFonts w:ascii="Bookman Old Style" w:hAnsi="Bookman Old Style"/>
          <w:sz w:val="22"/>
          <w:szCs w:val="22"/>
        </w:rPr>
        <w:t>Il comma 882 dell’art.1 della Legge 205/2017 ha modificato il paragrafo 3.3 dell’allegato 4.2, recante “Principio contabile applicato concernente la contabilità finanziaria”, annesso al D.lgs. 118/2011, introducendo una maggiore gradualità per gli enti locali nell'applicazione delle disposizioni riguardanti l'accantonamento al Fondo crediti di dubbia esigibilità (FCDE) iscritto nel bilancio di previsione, a partire dal 2018.</w:t>
      </w:r>
    </w:p>
    <w:p w14:paraId="24869831" w14:textId="77777777" w:rsidR="000166BA" w:rsidRPr="00487096" w:rsidRDefault="000166BA" w:rsidP="00E012A3">
      <w:pPr>
        <w:pStyle w:val="Nessunaspaziatura"/>
        <w:spacing w:after="120"/>
        <w:ind w:left="851" w:hanging="131"/>
        <w:jc w:val="both"/>
        <w:rPr>
          <w:rFonts w:ascii="Bookman Old Style" w:hAnsi="Bookman Old Style"/>
          <w:sz w:val="22"/>
          <w:szCs w:val="22"/>
        </w:rPr>
      </w:pPr>
      <w:r w:rsidRPr="00487096">
        <w:rPr>
          <w:rFonts w:ascii="Bookman Old Style" w:hAnsi="Bookman Old Style"/>
          <w:sz w:val="22"/>
          <w:szCs w:val="22"/>
        </w:rPr>
        <w:t>In particolare, l’accantonamento al Fondo è effettuato:</w:t>
      </w:r>
    </w:p>
    <w:p w14:paraId="5A89637F" w14:textId="77777777" w:rsidR="000166BA" w:rsidRPr="00487096" w:rsidRDefault="000166BA" w:rsidP="00E012A3">
      <w:pPr>
        <w:pStyle w:val="Nessunaspaziatura"/>
        <w:spacing w:after="120"/>
        <w:ind w:left="851" w:hanging="131"/>
        <w:jc w:val="both"/>
        <w:rPr>
          <w:rFonts w:ascii="Bookman Old Style" w:hAnsi="Bookman Old Style"/>
          <w:sz w:val="22"/>
          <w:szCs w:val="22"/>
        </w:rPr>
      </w:pPr>
      <w:r w:rsidRPr="00487096">
        <w:rPr>
          <w:rFonts w:ascii="Bookman Old Style" w:hAnsi="Bookman Old Style"/>
          <w:sz w:val="22"/>
          <w:szCs w:val="22"/>
        </w:rPr>
        <w:t xml:space="preserve">      - nel 2018 per un importo pari almeno al 75 per cento;</w:t>
      </w:r>
    </w:p>
    <w:p w14:paraId="63BAD4DA" w14:textId="77777777" w:rsidR="000166BA" w:rsidRPr="00487096" w:rsidRDefault="000166BA" w:rsidP="00E012A3">
      <w:pPr>
        <w:pStyle w:val="Nessunaspaziatura"/>
        <w:spacing w:after="120"/>
        <w:ind w:left="851" w:hanging="131"/>
        <w:jc w:val="both"/>
        <w:rPr>
          <w:rFonts w:ascii="Bookman Old Style" w:hAnsi="Bookman Old Style"/>
          <w:sz w:val="22"/>
          <w:szCs w:val="22"/>
        </w:rPr>
      </w:pPr>
      <w:r w:rsidRPr="00487096">
        <w:rPr>
          <w:rFonts w:ascii="Bookman Old Style" w:hAnsi="Bookman Old Style"/>
          <w:sz w:val="22"/>
          <w:szCs w:val="22"/>
        </w:rPr>
        <w:t xml:space="preserve">      - nel 2019 per un importo pari almeno all’85 per cento;</w:t>
      </w:r>
    </w:p>
    <w:p w14:paraId="1184A79C" w14:textId="77777777" w:rsidR="000166BA" w:rsidRPr="00487096" w:rsidRDefault="000166BA" w:rsidP="00E012A3">
      <w:pPr>
        <w:pStyle w:val="Nessunaspaziatura"/>
        <w:spacing w:after="120"/>
        <w:ind w:left="851" w:hanging="131"/>
        <w:jc w:val="both"/>
        <w:rPr>
          <w:rFonts w:ascii="Bookman Old Style" w:hAnsi="Bookman Old Style"/>
          <w:sz w:val="22"/>
          <w:szCs w:val="22"/>
        </w:rPr>
      </w:pPr>
      <w:r w:rsidRPr="00487096">
        <w:rPr>
          <w:rFonts w:ascii="Bookman Old Style" w:hAnsi="Bookman Old Style"/>
          <w:sz w:val="22"/>
          <w:szCs w:val="22"/>
        </w:rPr>
        <w:t xml:space="preserve">      - nel 2020 per un importo pari almeno al 95 per cento;</w:t>
      </w:r>
    </w:p>
    <w:p w14:paraId="291EBB2E" w14:textId="77777777" w:rsidR="000166BA" w:rsidRPr="008E3819" w:rsidRDefault="000166BA" w:rsidP="00E012A3">
      <w:pPr>
        <w:spacing w:after="120"/>
        <w:ind w:left="851" w:right="-1" w:hanging="131"/>
        <w:jc w:val="both"/>
        <w:rPr>
          <w:rFonts w:ascii="Bookman Old Style" w:hAnsi="Bookman Old Style"/>
          <w:sz w:val="22"/>
          <w:szCs w:val="22"/>
        </w:rPr>
      </w:pPr>
      <w:r w:rsidRPr="008E3819">
        <w:rPr>
          <w:rFonts w:ascii="Bookman Old Style" w:hAnsi="Bookman Old Style"/>
          <w:sz w:val="22"/>
          <w:szCs w:val="22"/>
        </w:rPr>
        <w:t xml:space="preserve">      - dal 2021 per l’intero importo.</w:t>
      </w:r>
    </w:p>
    <w:p w14:paraId="1AFF8D55" w14:textId="77777777" w:rsidR="004D0916" w:rsidRPr="00487096" w:rsidRDefault="004D0916" w:rsidP="00E012A3">
      <w:pPr>
        <w:pStyle w:val="Nessunaspaziatura"/>
        <w:spacing w:after="120"/>
        <w:jc w:val="both"/>
        <w:rPr>
          <w:rFonts w:ascii="Bookman Old Style" w:hAnsi="Bookman Old Style"/>
          <w:b/>
          <w:bCs/>
          <w:sz w:val="22"/>
          <w:szCs w:val="22"/>
        </w:rPr>
      </w:pPr>
      <w:bookmarkStart w:id="3" w:name="_Toc57988995"/>
      <w:bookmarkStart w:id="4" w:name="_Toc57989037"/>
      <w:bookmarkEnd w:id="2"/>
    </w:p>
    <w:p w14:paraId="4EA20C98" w14:textId="77777777" w:rsidR="004D0916" w:rsidRPr="00487096" w:rsidRDefault="004D0916" w:rsidP="00E012A3">
      <w:pPr>
        <w:pStyle w:val="Nessunaspaziatura"/>
        <w:spacing w:after="120"/>
        <w:jc w:val="both"/>
        <w:rPr>
          <w:rFonts w:ascii="Bookman Old Style" w:hAnsi="Bookman Old Style"/>
          <w:b/>
          <w:bCs/>
          <w:i/>
          <w:iCs/>
          <w:sz w:val="22"/>
          <w:szCs w:val="22"/>
        </w:rPr>
      </w:pPr>
      <w:r w:rsidRPr="00487096">
        <w:rPr>
          <w:rFonts w:ascii="Bookman Old Style" w:hAnsi="Bookman Old Style"/>
          <w:b/>
          <w:bCs/>
          <w:i/>
          <w:iCs/>
          <w:sz w:val="22"/>
          <w:szCs w:val="22"/>
        </w:rPr>
        <w:t>Fondo di garanzia dei debiti commerciali</w:t>
      </w:r>
      <w:bookmarkEnd w:id="3"/>
      <w:bookmarkEnd w:id="4"/>
    </w:p>
    <w:p w14:paraId="39CA102A" w14:textId="77777777" w:rsidR="004D0916" w:rsidRPr="00487096" w:rsidRDefault="004D0916" w:rsidP="00E012A3">
      <w:pPr>
        <w:pStyle w:val="Nessunaspaziatura"/>
        <w:spacing w:after="120"/>
        <w:ind w:left="360"/>
        <w:jc w:val="both"/>
        <w:rPr>
          <w:rFonts w:ascii="Bookman Old Style" w:hAnsi="Bookman Old Style"/>
          <w:sz w:val="22"/>
          <w:szCs w:val="22"/>
        </w:rPr>
      </w:pPr>
      <w:r w:rsidRPr="00487096">
        <w:rPr>
          <w:rFonts w:ascii="Bookman Old Style" w:hAnsi="Bookman Old Style"/>
          <w:sz w:val="22"/>
          <w:szCs w:val="22"/>
        </w:rPr>
        <w:t xml:space="preserve">La Legge 160/2019 al comma 854 – ha previsto la modifica delle tempistiche introdotte dalla Legge 145/2018 – Legge di Bilancio 2019 – ai commi 859 e seguenti – </w:t>
      </w:r>
      <w:r w:rsidRPr="008E3819">
        <w:rPr>
          <w:rFonts w:ascii="Bookman Old Style" w:hAnsi="Bookman Old Style"/>
          <w:sz w:val="22"/>
          <w:szCs w:val="22"/>
        </w:rPr>
        <w:t>prevedendo che a partire dall’anno 2021</w:t>
      </w:r>
      <w:r w:rsidRPr="00487096">
        <w:rPr>
          <w:rFonts w:ascii="Bookman Old Style" w:hAnsi="Bookman Old Style"/>
          <w:sz w:val="22"/>
          <w:szCs w:val="22"/>
        </w:rPr>
        <w:t>, le amministrazioni pubbliche, diverse dalle amministrazioni dello Stato e dagli enti del Servizio sanitario nazionale, di cui all’articolo 1, comma 2, della legge 31 dicembre 2009, n. 196:</w:t>
      </w:r>
    </w:p>
    <w:p w14:paraId="4694CAC5" w14:textId="77777777" w:rsidR="004D0916" w:rsidRPr="00487096" w:rsidRDefault="004D0916" w:rsidP="00E012A3">
      <w:pPr>
        <w:pStyle w:val="Nessunaspaziatura"/>
        <w:numPr>
          <w:ilvl w:val="0"/>
          <w:numId w:val="25"/>
        </w:numPr>
        <w:spacing w:after="120"/>
        <w:jc w:val="both"/>
        <w:rPr>
          <w:rFonts w:ascii="Bookman Old Style" w:hAnsi="Bookman Old Style"/>
          <w:sz w:val="22"/>
          <w:szCs w:val="22"/>
        </w:rPr>
      </w:pPr>
      <w:r w:rsidRPr="00487096">
        <w:rPr>
          <w:rFonts w:ascii="Bookman Old Style" w:hAnsi="Bookman Old Style"/>
          <w:sz w:val="22"/>
          <w:szCs w:val="22"/>
        </w:rPr>
        <w:t xml:space="preserve">se non hanno ridotto il debito commerciale al 31/12 dell’anno precedente (2020) rispetto al debito alla medesima data del secondo anno precedente (2019) di almeno il 10%. </w:t>
      </w:r>
    </w:p>
    <w:p w14:paraId="5533C899" w14:textId="77777777" w:rsidR="004D0916" w:rsidRPr="00487096" w:rsidRDefault="004D0916" w:rsidP="00E012A3">
      <w:pPr>
        <w:pStyle w:val="Nessunaspaziatura"/>
        <w:spacing w:after="120"/>
        <w:ind w:left="708"/>
        <w:jc w:val="both"/>
        <w:rPr>
          <w:rFonts w:ascii="Bookman Old Style" w:hAnsi="Bookman Old Style"/>
          <w:sz w:val="22"/>
          <w:szCs w:val="22"/>
        </w:rPr>
      </w:pPr>
      <w:r w:rsidRPr="00487096">
        <w:rPr>
          <w:rFonts w:ascii="Bookman Old Style" w:hAnsi="Bookman Old Style"/>
          <w:sz w:val="22"/>
          <w:szCs w:val="22"/>
        </w:rPr>
        <w:t>In ogni caso le medesime misure non si applicano se il debito commerciale residuo scaduto, rilevato alla fine dell’esercizio precedente, non è superiore al 5 per cento del totale delle fatture ricevute nel medesimo esercizio</w:t>
      </w:r>
      <w:r w:rsidR="00711624" w:rsidRPr="00487096">
        <w:rPr>
          <w:rFonts w:ascii="Bookman Old Style" w:hAnsi="Bookman Old Style"/>
          <w:sz w:val="22"/>
          <w:szCs w:val="22"/>
        </w:rPr>
        <w:t>;</w:t>
      </w:r>
    </w:p>
    <w:p w14:paraId="2040E509" w14:textId="77777777" w:rsidR="00711624" w:rsidRPr="00487096" w:rsidRDefault="004D0916" w:rsidP="00E012A3">
      <w:pPr>
        <w:pStyle w:val="Nessunaspaziatura"/>
        <w:numPr>
          <w:ilvl w:val="0"/>
          <w:numId w:val="25"/>
        </w:numPr>
        <w:spacing w:after="120"/>
        <w:jc w:val="both"/>
        <w:rPr>
          <w:rFonts w:ascii="Bookman Old Style" w:hAnsi="Bookman Old Style"/>
          <w:sz w:val="22"/>
          <w:szCs w:val="22"/>
        </w:rPr>
      </w:pPr>
      <w:r w:rsidRPr="00487096">
        <w:rPr>
          <w:rFonts w:ascii="Bookman Old Style" w:hAnsi="Bookman Old Style"/>
          <w:sz w:val="22"/>
          <w:szCs w:val="22"/>
        </w:rPr>
        <w:t>se, pur rispettando la riduzione del 10%, presentano indicatore di ritardo annuale dei pagamenti, calcolato sulle fatture ricevute e scadute nell’anno precedente, non rispettoso dei termini di pagamento delle transazioni commerciali, come fissati dall’articolo 4 del decreto legislativo 9 ottobre 2002, n. 231 (30 gg piuttosto che 60 gg nel caso di specifici accordi)</w:t>
      </w:r>
      <w:r w:rsidR="00711624" w:rsidRPr="00487096">
        <w:rPr>
          <w:rFonts w:ascii="Bookman Old Style" w:hAnsi="Bookman Old Style"/>
          <w:sz w:val="22"/>
          <w:szCs w:val="22"/>
        </w:rPr>
        <w:t>;</w:t>
      </w:r>
    </w:p>
    <w:p w14:paraId="749F5618" w14:textId="77777777" w:rsidR="004D0916" w:rsidRPr="00487096" w:rsidRDefault="004D0916" w:rsidP="00E012A3">
      <w:pPr>
        <w:pStyle w:val="Nessunaspaziatura"/>
        <w:spacing w:after="120"/>
        <w:ind w:left="360"/>
        <w:jc w:val="both"/>
        <w:rPr>
          <w:rFonts w:ascii="Bookman Old Style" w:hAnsi="Bookman Old Style"/>
          <w:sz w:val="22"/>
          <w:szCs w:val="22"/>
        </w:rPr>
      </w:pPr>
      <w:r w:rsidRPr="00487096">
        <w:rPr>
          <w:rFonts w:ascii="Bookman Old Style" w:hAnsi="Bookman Old Style"/>
          <w:sz w:val="22"/>
          <w:szCs w:val="22"/>
        </w:rPr>
        <w:t>devono stanziare nella parte corrente del proprio bilancio un accantonamento denominato Fondo di garanzia debiti commerciali, sul quale non è possibile disporre impegni e pagamenti, che a fine esercizio confluisce nella quota libera del risultato di amministrazione.</w:t>
      </w:r>
    </w:p>
    <w:p w14:paraId="1FB6D008" w14:textId="77777777" w:rsidR="004D0916" w:rsidRPr="00487096" w:rsidRDefault="004D0916" w:rsidP="00E012A3">
      <w:pPr>
        <w:pStyle w:val="Nessunaspaziatura"/>
        <w:spacing w:after="120"/>
        <w:ind w:left="360"/>
        <w:jc w:val="both"/>
        <w:rPr>
          <w:rFonts w:ascii="Bookman Old Style" w:hAnsi="Bookman Old Style"/>
          <w:sz w:val="22"/>
          <w:szCs w:val="22"/>
        </w:rPr>
      </w:pPr>
      <w:r w:rsidRPr="00487096">
        <w:rPr>
          <w:rFonts w:ascii="Bookman Old Style" w:hAnsi="Bookman Old Style"/>
          <w:sz w:val="22"/>
          <w:szCs w:val="22"/>
        </w:rPr>
        <w:t>Ai sensi del comma 862, il Fondo di garanzia debiti commerciali, dovrà essere previsto per un importo pari al:</w:t>
      </w:r>
    </w:p>
    <w:p w14:paraId="43577961" w14:textId="77777777" w:rsidR="004D0916" w:rsidRPr="00487096" w:rsidRDefault="004D0916" w:rsidP="00E012A3">
      <w:pPr>
        <w:pStyle w:val="Nessunaspaziatura"/>
        <w:numPr>
          <w:ilvl w:val="0"/>
          <w:numId w:val="25"/>
        </w:numPr>
        <w:spacing w:after="120"/>
        <w:jc w:val="both"/>
        <w:rPr>
          <w:rFonts w:ascii="Bookman Old Style" w:hAnsi="Bookman Old Style"/>
          <w:sz w:val="22"/>
          <w:szCs w:val="22"/>
        </w:rPr>
      </w:pPr>
      <w:r w:rsidRPr="00487096">
        <w:rPr>
          <w:rFonts w:ascii="Bookman Old Style" w:hAnsi="Bookman Old Style"/>
          <w:sz w:val="22"/>
          <w:szCs w:val="22"/>
        </w:rPr>
        <w:t>5 % degli stanziamenti riguardanti nell’esercizio in corso la spesa per acquisto di beni e servizi, in caso di mancata riduzione del 10 % del debito commerciale residuo oppure per ritardi superiori a 60 giorni, registrati nell’esercizio precedente;</w:t>
      </w:r>
    </w:p>
    <w:p w14:paraId="0DD85A1B" w14:textId="77777777" w:rsidR="004D0916" w:rsidRPr="00487096" w:rsidRDefault="004D0916" w:rsidP="00E012A3">
      <w:pPr>
        <w:pStyle w:val="Nessunaspaziatura"/>
        <w:numPr>
          <w:ilvl w:val="0"/>
          <w:numId w:val="25"/>
        </w:numPr>
        <w:spacing w:after="120"/>
        <w:jc w:val="both"/>
        <w:rPr>
          <w:rFonts w:ascii="Bookman Old Style" w:hAnsi="Bookman Old Style"/>
          <w:sz w:val="22"/>
          <w:szCs w:val="22"/>
        </w:rPr>
      </w:pPr>
      <w:r w:rsidRPr="00487096">
        <w:rPr>
          <w:rFonts w:ascii="Bookman Old Style" w:hAnsi="Bookman Old Style"/>
          <w:sz w:val="22"/>
          <w:szCs w:val="22"/>
        </w:rPr>
        <w:t>3 % degli stanziamenti riguardanti nell’esercizio in corso la spesa per acquisto di beni e servizi, per ritardi compresi tra 31 e 60 giorni, registrati nell’esercizio precedente;</w:t>
      </w:r>
    </w:p>
    <w:p w14:paraId="40056572" w14:textId="77777777" w:rsidR="004D0916" w:rsidRPr="00487096" w:rsidRDefault="004D0916" w:rsidP="00E012A3">
      <w:pPr>
        <w:pStyle w:val="Nessunaspaziatura"/>
        <w:numPr>
          <w:ilvl w:val="0"/>
          <w:numId w:val="25"/>
        </w:numPr>
        <w:spacing w:after="120"/>
        <w:jc w:val="both"/>
        <w:rPr>
          <w:rFonts w:ascii="Bookman Old Style" w:hAnsi="Bookman Old Style"/>
          <w:sz w:val="22"/>
          <w:szCs w:val="22"/>
        </w:rPr>
      </w:pPr>
      <w:r w:rsidRPr="00487096">
        <w:rPr>
          <w:rFonts w:ascii="Bookman Old Style" w:hAnsi="Bookman Old Style"/>
          <w:sz w:val="22"/>
          <w:szCs w:val="22"/>
        </w:rPr>
        <w:t>2 % degli stanziamenti riguardanti nell’esercizio in corso la spesa per acquisto di beni e servizi, per ritardi compresi tra 11 e 30 giorni, registrati nell’esercizio precedente;</w:t>
      </w:r>
    </w:p>
    <w:p w14:paraId="2A11A3A0" w14:textId="77777777" w:rsidR="004D0916" w:rsidRPr="00487096" w:rsidRDefault="004D0916" w:rsidP="00E012A3">
      <w:pPr>
        <w:pStyle w:val="Nessunaspaziatura"/>
        <w:numPr>
          <w:ilvl w:val="0"/>
          <w:numId w:val="25"/>
        </w:numPr>
        <w:spacing w:after="120"/>
        <w:jc w:val="both"/>
        <w:rPr>
          <w:rFonts w:ascii="Bookman Old Style" w:hAnsi="Bookman Old Style"/>
          <w:sz w:val="22"/>
          <w:szCs w:val="22"/>
        </w:rPr>
      </w:pPr>
      <w:r w:rsidRPr="00487096">
        <w:rPr>
          <w:rFonts w:ascii="Bookman Old Style" w:hAnsi="Bookman Old Style"/>
          <w:sz w:val="22"/>
          <w:szCs w:val="22"/>
        </w:rPr>
        <w:t>1 % degli stanziamenti riguardanti nell’esercizio in corso la spesa per acquisto di beni e servizi, per ritardi compresi tra 1 e 10 giorni, registrati nell’esercizio precedente.</w:t>
      </w:r>
    </w:p>
    <w:p w14:paraId="18DAF9FE" w14:textId="77777777" w:rsidR="00A02E5E" w:rsidRPr="00487096" w:rsidRDefault="00A02E5E" w:rsidP="00E012A3">
      <w:pPr>
        <w:pStyle w:val="Nessunaspaziatura"/>
        <w:spacing w:after="120"/>
        <w:jc w:val="both"/>
        <w:rPr>
          <w:rFonts w:ascii="Bookman Old Style" w:hAnsi="Bookman Old Style"/>
          <w:i/>
          <w:iCs/>
          <w:sz w:val="22"/>
          <w:szCs w:val="22"/>
        </w:rPr>
      </w:pPr>
      <w:bookmarkStart w:id="5" w:name="_Toc57988993"/>
      <w:bookmarkStart w:id="6" w:name="_Toc57989035"/>
      <w:r w:rsidRPr="00487096">
        <w:rPr>
          <w:rFonts w:ascii="Bookman Old Style" w:hAnsi="Bookman Old Style"/>
          <w:b/>
          <w:bCs/>
          <w:i/>
          <w:iCs/>
          <w:sz w:val="22"/>
          <w:szCs w:val="22"/>
        </w:rPr>
        <w:t>Fondi per spese potenziali</w:t>
      </w:r>
      <w:bookmarkEnd w:id="5"/>
      <w:bookmarkEnd w:id="6"/>
      <w:r w:rsidR="00BB2279" w:rsidRPr="00487096">
        <w:rPr>
          <w:rFonts w:ascii="Bookman Old Style" w:hAnsi="Bookman Old Style"/>
          <w:b/>
          <w:bCs/>
          <w:i/>
          <w:iCs/>
          <w:sz w:val="22"/>
          <w:szCs w:val="22"/>
        </w:rPr>
        <w:t xml:space="preserve"> </w:t>
      </w:r>
    </w:p>
    <w:p w14:paraId="23B53E00" w14:textId="77777777" w:rsidR="00A02E5E" w:rsidRPr="00487096" w:rsidRDefault="00A02E5E" w:rsidP="00E012A3">
      <w:pPr>
        <w:spacing w:after="120"/>
        <w:ind w:left="300"/>
        <w:jc w:val="both"/>
        <w:rPr>
          <w:rFonts w:ascii="Bookman Old Style" w:hAnsi="Bookman Old Style"/>
          <w:sz w:val="22"/>
          <w:szCs w:val="22"/>
        </w:rPr>
      </w:pPr>
      <w:r w:rsidRPr="00487096">
        <w:rPr>
          <w:rFonts w:ascii="Bookman Old Style" w:hAnsi="Bookman Old Style"/>
          <w:sz w:val="22"/>
          <w:szCs w:val="22"/>
        </w:rPr>
        <w:t>L’Ente deve</w:t>
      </w:r>
      <w:r w:rsidR="00AA4960" w:rsidRPr="00487096">
        <w:rPr>
          <w:rFonts w:ascii="Bookman Old Style" w:hAnsi="Bookman Old Style"/>
          <w:sz w:val="22"/>
          <w:szCs w:val="22"/>
        </w:rPr>
        <w:t xml:space="preserve"> continuare</w:t>
      </w:r>
      <w:r w:rsidRPr="00487096">
        <w:rPr>
          <w:rFonts w:ascii="Bookman Old Style" w:hAnsi="Bookman Old Style"/>
          <w:sz w:val="22"/>
          <w:szCs w:val="22"/>
        </w:rPr>
        <w:t xml:space="preserve"> a stanziare nel bilancio 2021-2023 accantonamenti in conto competenza </w:t>
      </w:r>
      <w:r w:rsidR="00894907" w:rsidRPr="00487096">
        <w:rPr>
          <w:rFonts w:ascii="Bookman Old Style" w:hAnsi="Bookman Old Style"/>
          <w:sz w:val="22"/>
          <w:szCs w:val="22"/>
        </w:rPr>
        <w:t xml:space="preserve">    </w:t>
      </w:r>
      <w:r w:rsidRPr="00487096">
        <w:rPr>
          <w:rFonts w:ascii="Bookman Old Style" w:hAnsi="Bookman Old Style"/>
          <w:sz w:val="22"/>
          <w:szCs w:val="22"/>
        </w:rPr>
        <w:t>per le spese potenziali, tenendo conto dello stato del contenzioso in essere.</w:t>
      </w:r>
    </w:p>
    <w:p w14:paraId="52DB4147" w14:textId="77777777" w:rsidR="00234ED9" w:rsidRDefault="00234ED9" w:rsidP="00E012A3">
      <w:pPr>
        <w:pStyle w:val="Nessunaspaziatura"/>
        <w:spacing w:after="120"/>
        <w:jc w:val="both"/>
        <w:rPr>
          <w:rFonts w:ascii="Bookman Old Style" w:hAnsi="Bookman Old Style"/>
          <w:b/>
          <w:bCs/>
          <w:sz w:val="22"/>
          <w:szCs w:val="22"/>
        </w:rPr>
      </w:pPr>
    </w:p>
    <w:p w14:paraId="66D5BB3F" w14:textId="01BBADEA" w:rsidR="00435522" w:rsidRPr="00487096" w:rsidRDefault="00FF3235" w:rsidP="00E012A3">
      <w:pPr>
        <w:pStyle w:val="Nessunaspaziatura"/>
        <w:spacing w:after="120"/>
        <w:jc w:val="both"/>
        <w:rPr>
          <w:rFonts w:ascii="Bookman Old Style" w:hAnsi="Bookman Old Style"/>
          <w:sz w:val="22"/>
          <w:szCs w:val="22"/>
        </w:rPr>
      </w:pPr>
      <w:r w:rsidRPr="00487096">
        <w:rPr>
          <w:rFonts w:ascii="Bookman Old Style" w:hAnsi="Bookman Old Style"/>
          <w:b/>
          <w:bCs/>
          <w:sz w:val="22"/>
          <w:szCs w:val="22"/>
        </w:rPr>
        <w:t>SOTTOLINEATO</w:t>
      </w:r>
      <w:r w:rsidRPr="00487096">
        <w:rPr>
          <w:rFonts w:ascii="Bookman Old Style" w:hAnsi="Bookman Old Style"/>
          <w:sz w:val="22"/>
          <w:szCs w:val="22"/>
        </w:rPr>
        <w:t xml:space="preserve"> </w:t>
      </w:r>
      <w:r w:rsidR="00435522" w:rsidRPr="00487096">
        <w:rPr>
          <w:rFonts w:ascii="Bookman Old Style" w:hAnsi="Bookman Old Style"/>
          <w:sz w:val="22"/>
          <w:szCs w:val="22"/>
        </w:rPr>
        <w:t>che le suddette prescrizioni</w:t>
      </w:r>
      <w:r w:rsidR="001B2EC1" w:rsidRPr="00487096">
        <w:rPr>
          <w:rFonts w:ascii="Bookman Old Style" w:hAnsi="Bookman Old Style"/>
          <w:sz w:val="22"/>
          <w:szCs w:val="22"/>
        </w:rPr>
        <w:t>,</w:t>
      </w:r>
      <w:r w:rsidR="00435522" w:rsidRPr="00487096">
        <w:rPr>
          <w:rFonts w:ascii="Bookman Old Style" w:hAnsi="Bookman Old Style"/>
          <w:sz w:val="22"/>
          <w:szCs w:val="22"/>
        </w:rPr>
        <w:t xml:space="preserve"> vincoli</w:t>
      </w:r>
      <w:r w:rsidR="001B2EC1" w:rsidRPr="00487096">
        <w:rPr>
          <w:rFonts w:ascii="Bookman Old Style" w:hAnsi="Bookman Old Style"/>
          <w:sz w:val="22"/>
          <w:szCs w:val="22"/>
        </w:rPr>
        <w:t xml:space="preserve"> e problematiche</w:t>
      </w:r>
      <w:r w:rsidR="00435522" w:rsidRPr="00487096">
        <w:rPr>
          <w:rFonts w:ascii="Bookman Old Style" w:hAnsi="Bookman Old Style"/>
          <w:sz w:val="22"/>
          <w:szCs w:val="22"/>
        </w:rPr>
        <w:t xml:space="preserve"> obbligano a stanziare nella parte spesa del bilancio ingenti somme</w:t>
      </w:r>
      <w:r w:rsidR="001B2EC1" w:rsidRPr="00487096">
        <w:rPr>
          <w:rFonts w:ascii="Bookman Old Style" w:hAnsi="Bookman Old Style"/>
          <w:sz w:val="22"/>
          <w:szCs w:val="22"/>
        </w:rPr>
        <w:t>,</w:t>
      </w:r>
      <w:r w:rsidR="00435522" w:rsidRPr="00487096">
        <w:rPr>
          <w:rFonts w:ascii="Bookman Old Style" w:hAnsi="Bookman Old Style"/>
          <w:sz w:val="22"/>
          <w:szCs w:val="22"/>
        </w:rPr>
        <w:t xml:space="preserve"> che non solo comprimono l’erogazione dei servizi da rendere alla collettività, ma</w:t>
      </w:r>
      <w:r w:rsidR="00463C56" w:rsidRPr="00487096">
        <w:rPr>
          <w:rFonts w:ascii="Bookman Old Style" w:hAnsi="Bookman Old Style"/>
          <w:sz w:val="22"/>
          <w:szCs w:val="22"/>
        </w:rPr>
        <w:t xml:space="preserve"> che</w:t>
      </w:r>
      <w:r w:rsidR="00435522" w:rsidRPr="00487096">
        <w:rPr>
          <w:rFonts w:ascii="Bookman Old Style" w:hAnsi="Bookman Old Style"/>
          <w:sz w:val="22"/>
          <w:szCs w:val="22"/>
        </w:rPr>
        <w:t xml:space="preserve"> determinano</w:t>
      </w:r>
      <w:r w:rsidR="00AA4960" w:rsidRPr="00487096">
        <w:rPr>
          <w:rFonts w:ascii="Bookman Old Style" w:hAnsi="Bookman Old Style"/>
          <w:sz w:val="22"/>
          <w:szCs w:val="22"/>
        </w:rPr>
        <w:t xml:space="preserve"> anche</w:t>
      </w:r>
      <w:r w:rsidR="00435522" w:rsidRPr="00487096">
        <w:rPr>
          <w:rFonts w:ascii="Bookman Old Style" w:hAnsi="Bookman Old Style"/>
          <w:sz w:val="22"/>
          <w:szCs w:val="22"/>
        </w:rPr>
        <w:t xml:space="preserve"> significativi </w:t>
      </w:r>
      <w:r w:rsidR="00026184" w:rsidRPr="00487096">
        <w:rPr>
          <w:rFonts w:ascii="Bookman Old Style" w:hAnsi="Bookman Old Style"/>
          <w:sz w:val="22"/>
          <w:szCs w:val="22"/>
        </w:rPr>
        <w:t>squilibri di bilancio</w:t>
      </w:r>
      <w:r w:rsidR="00435522" w:rsidRPr="00487096">
        <w:rPr>
          <w:rFonts w:ascii="Bookman Old Style" w:hAnsi="Bookman Old Style"/>
          <w:sz w:val="22"/>
          <w:szCs w:val="22"/>
        </w:rPr>
        <w:t>.</w:t>
      </w:r>
    </w:p>
    <w:p w14:paraId="74D9E128" w14:textId="1D8859F2" w:rsidR="00F37E68" w:rsidRPr="00487096" w:rsidRDefault="004E0B57" w:rsidP="00E012A3">
      <w:pPr>
        <w:tabs>
          <w:tab w:val="center" w:pos="1620"/>
          <w:tab w:val="center" w:pos="7920"/>
        </w:tabs>
        <w:spacing w:after="120"/>
        <w:jc w:val="both"/>
        <w:rPr>
          <w:rFonts w:ascii="Bookman Old Style" w:hAnsi="Bookman Old Style" w:cs="Calibri"/>
          <w:sz w:val="22"/>
          <w:szCs w:val="22"/>
        </w:rPr>
      </w:pPr>
      <w:r w:rsidRPr="00487096">
        <w:rPr>
          <w:rFonts w:ascii="Bookman Old Style" w:hAnsi="Bookman Old Style" w:cs="Calibri"/>
          <w:b/>
          <w:bCs/>
          <w:sz w:val="22"/>
          <w:szCs w:val="22"/>
        </w:rPr>
        <w:t>VISTA</w:t>
      </w:r>
      <w:r w:rsidRPr="00487096">
        <w:rPr>
          <w:rFonts w:ascii="Bookman Old Style" w:hAnsi="Bookman Old Style" w:cs="Calibri"/>
          <w:sz w:val="22"/>
          <w:szCs w:val="22"/>
        </w:rPr>
        <w:t xml:space="preserve"> la Legge n. 142/90 e ss.mm.ii. così come recepita dalla Legge Regionale n. 48/91 e ss.mm.ii.. </w:t>
      </w:r>
    </w:p>
    <w:p w14:paraId="37CD3CD7" w14:textId="1CD2A2E8" w:rsidR="00F37E68" w:rsidRPr="00487096" w:rsidRDefault="004E0B57" w:rsidP="00E012A3">
      <w:pPr>
        <w:tabs>
          <w:tab w:val="center" w:pos="1620"/>
          <w:tab w:val="center" w:pos="7920"/>
        </w:tabs>
        <w:spacing w:after="120"/>
        <w:jc w:val="both"/>
        <w:rPr>
          <w:rFonts w:ascii="Bookman Old Style" w:hAnsi="Bookman Old Style" w:cs="Calibri"/>
          <w:sz w:val="22"/>
          <w:szCs w:val="22"/>
        </w:rPr>
      </w:pPr>
      <w:r w:rsidRPr="00487096">
        <w:rPr>
          <w:rFonts w:ascii="Bookman Old Style" w:hAnsi="Bookman Old Style" w:cs="Calibri"/>
          <w:b/>
          <w:bCs/>
          <w:sz w:val="22"/>
          <w:szCs w:val="22"/>
        </w:rPr>
        <w:t>VISTO</w:t>
      </w:r>
      <w:r w:rsidRPr="00487096">
        <w:rPr>
          <w:rFonts w:ascii="Bookman Old Style" w:hAnsi="Bookman Old Style" w:cs="Calibri"/>
          <w:sz w:val="22"/>
          <w:szCs w:val="22"/>
        </w:rPr>
        <w:t xml:space="preserve"> il D. Lgs. n. 267 del 18/08/2000 e ss.mm.ii.. </w:t>
      </w:r>
    </w:p>
    <w:p w14:paraId="4477FF3C" w14:textId="68BA72A4" w:rsidR="00F37E68" w:rsidRPr="00487096" w:rsidRDefault="004E0B57" w:rsidP="00E012A3">
      <w:pPr>
        <w:tabs>
          <w:tab w:val="center" w:pos="1620"/>
          <w:tab w:val="center" w:pos="7920"/>
        </w:tabs>
        <w:spacing w:after="120"/>
        <w:jc w:val="both"/>
        <w:rPr>
          <w:rFonts w:ascii="Bookman Old Style" w:hAnsi="Bookman Old Style" w:cs="Calibri"/>
          <w:sz w:val="22"/>
          <w:szCs w:val="22"/>
        </w:rPr>
      </w:pPr>
      <w:r w:rsidRPr="00487096">
        <w:rPr>
          <w:rFonts w:ascii="Bookman Old Style" w:hAnsi="Bookman Old Style" w:cs="Calibri"/>
          <w:b/>
          <w:bCs/>
          <w:sz w:val="22"/>
          <w:szCs w:val="22"/>
        </w:rPr>
        <w:t>VISTO</w:t>
      </w:r>
      <w:r w:rsidRPr="00487096">
        <w:rPr>
          <w:rFonts w:ascii="Bookman Old Style" w:hAnsi="Bookman Old Style" w:cs="Calibri"/>
          <w:sz w:val="22"/>
          <w:szCs w:val="22"/>
        </w:rPr>
        <w:t xml:space="preserve"> il Regolamento di Contabilità. </w:t>
      </w:r>
    </w:p>
    <w:p w14:paraId="5F90AFA4" w14:textId="7E9A257D" w:rsidR="00F37E68" w:rsidRPr="00487096" w:rsidRDefault="004E0B57" w:rsidP="00E012A3">
      <w:pPr>
        <w:tabs>
          <w:tab w:val="center" w:pos="1620"/>
          <w:tab w:val="center" w:pos="7920"/>
        </w:tabs>
        <w:spacing w:after="120"/>
        <w:jc w:val="both"/>
        <w:rPr>
          <w:rFonts w:ascii="Bookman Old Style" w:hAnsi="Bookman Old Style" w:cs="Calibri"/>
          <w:sz w:val="22"/>
          <w:szCs w:val="22"/>
        </w:rPr>
      </w:pPr>
      <w:r w:rsidRPr="00487096">
        <w:rPr>
          <w:rFonts w:ascii="Bookman Old Style" w:hAnsi="Bookman Old Style" w:cs="Calibri"/>
          <w:b/>
          <w:bCs/>
          <w:sz w:val="22"/>
          <w:szCs w:val="22"/>
        </w:rPr>
        <w:lastRenderedPageBreak/>
        <w:t>VISTO</w:t>
      </w:r>
      <w:r w:rsidRPr="00487096">
        <w:rPr>
          <w:rFonts w:ascii="Bookman Old Style" w:hAnsi="Bookman Old Style" w:cs="Calibri"/>
          <w:sz w:val="22"/>
          <w:szCs w:val="22"/>
        </w:rPr>
        <w:t xml:space="preserve"> lo Statuto Comunale. </w:t>
      </w:r>
    </w:p>
    <w:p w14:paraId="03B3E6BF" w14:textId="02602AF0" w:rsidR="00F37E68" w:rsidRPr="00487096" w:rsidRDefault="004E0B57" w:rsidP="00E012A3">
      <w:pPr>
        <w:tabs>
          <w:tab w:val="center" w:pos="1620"/>
          <w:tab w:val="center" w:pos="7920"/>
        </w:tabs>
        <w:spacing w:after="120"/>
        <w:jc w:val="both"/>
        <w:rPr>
          <w:rFonts w:ascii="Bookman Old Style" w:hAnsi="Bookman Old Style" w:cs="Calibri"/>
          <w:sz w:val="22"/>
          <w:szCs w:val="22"/>
        </w:rPr>
      </w:pPr>
      <w:r w:rsidRPr="00487096">
        <w:rPr>
          <w:rFonts w:ascii="Bookman Old Style" w:hAnsi="Bookman Old Style" w:cs="Calibri"/>
          <w:b/>
          <w:bCs/>
          <w:sz w:val="22"/>
          <w:szCs w:val="22"/>
        </w:rPr>
        <w:t>VISTO</w:t>
      </w:r>
      <w:r w:rsidRPr="00487096">
        <w:rPr>
          <w:rFonts w:ascii="Bookman Old Style" w:hAnsi="Bookman Old Style" w:cs="Calibri"/>
          <w:sz w:val="22"/>
          <w:szCs w:val="22"/>
        </w:rPr>
        <w:t xml:space="preserve"> il Regolamento degli Uffici e Servizi. </w:t>
      </w:r>
    </w:p>
    <w:p w14:paraId="6443356A" w14:textId="4535C02D" w:rsidR="00C97105" w:rsidRPr="00487096" w:rsidRDefault="00814FB5" w:rsidP="00C97105">
      <w:pPr>
        <w:tabs>
          <w:tab w:val="center" w:pos="1620"/>
          <w:tab w:val="center" w:pos="7920"/>
        </w:tabs>
        <w:spacing w:after="120"/>
        <w:jc w:val="both"/>
        <w:rPr>
          <w:rFonts w:ascii="Bookman Old Style" w:hAnsi="Bookman Old Style"/>
          <w:b/>
          <w:bCs/>
          <w:sz w:val="22"/>
          <w:szCs w:val="22"/>
        </w:rPr>
      </w:pPr>
      <w:r w:rsidRPr="00487096">
        <w:rPr>
          <w:rFonts w:ascii="Bookman Old Style" w:hAnsi="Bookman Old Style" w:cs="Calibri"/>
          <w:b/>
          <w:bCs/>
          <w:sz w:val="22"/>
          <w:szCs w:val="22"/>
        </w:rPr>
        <w:t>RITENUTO</w:t>
      </w:r>
      <w:r w:rsidRPr="00487096">
        <w:rPr>
          <w:rFonts w:ascii="Bookman Old Style" w:hAnsi="Bookman Old Style" w:cs="Calibri"/>
          <w:sz w:val="22"/>
          <w:szCs w:val="22"/>
        </w:rPr>
        <w:t xml:space="preserve"> necessario garantire agli Enti locali dell’Isola risorse finanziarie tali da non pregiudicare ulteriormente l’erogazione dei servizi essenziali in favore di cittadini e imprese</w:t>
      </w:r>
      <w:r w:rsidR="00C97105" w:rsidRPr="00487096">
        <w:rPr>
          <w:rFonts w:ascii="Bookman Old Style" w:hAnsi="Bookman Old Style" w:cs="Calibri"/>
          <w:sz w:val="22"/>
          <w:szCs w:val="22"/>
        </w:rPr>
        <w:t xml:space="preserve">, </w:t>
      </w:r>
      <w:r w:rsidR="000E03F1" w:rsidRPr="00487096">
        <w:rPr>
          <w:rFonts w:ascii="Bookman Old Style" w:hAnsi="Bookman Old Style" w:cs="Calibri"/>
          <w:sz w:val="22"/>
          <w:szCs w:val="22"/>
        </w:rPr>
        <w:t xml:space="preserve">consentire l’esercizio </w:t>
      </w:r>
      <w:r w:rsidR="00C97105" w:rsidRPr="00487096">
        <w:rPr>
          <w:rFonts w:ascii="Bookman Old Style" w:hAnsi="Bookman Old Style"/>
          <w:sz w:val="22"/>
          <w:szCs w:val="22"/>
        </w:rPr>
        <w:t xml:space="preserve">delle funzioni fondamentali, quale obbligo che riveste rango costituzionale </w:t>
      </w:r>
      <w:r w:rsidR="00C97105" w:rsidRPr="00487096">
        <w:rPr>
          <w:rFonts w:ascii="Bookman Old Style" w:hAnsi="Bookman Old Style" w:cs="Calibri"/>
          <w:sz w:val="22"/>
          <w:szCs w:val="22"/>
        </w:rPr>
        <w:t>e garantire</w:t>
      </w:r>
      <w:r w:rsidR="00C97105" w:rsidRPr="00487096">
        <w:rPr>
          <w:rStyle w:val="s2"/>
          <w:rFonts w:ascii="Bookman Old Style" w:hAnsi="Bookman Old Style"/>
          <w:sz w:val="22"/>
          <w:szCs w:val="22"/>
        </w:rPr>
        <w:t xml:space="preserve"> </w:t>
      </w:r>
      <w:r w:rsidR="00D5561E">
        <w:rPr>
          <w:rStyle w:val="s2"/>
          <w:rFonts w:ascii="Bookman Old Style" w:hAnsi="Bookman Old Style"/>
          <w:sz w:val="22"/>
          <w:szCs w:val="22"/>
        </w:rPr>
        <w:t xml:space="preserve">i </w:t>
      </w:r>
      <w:r w:rsidR="00C97105" w:rsidRPr="008E3819">
        <w:rPr>
          <w:rStyle w:val="s2"/>
          <w:rFonts w:ascii="Bookman Old Style" w:hAnsi="Bookman Old Style"/>
          <w:sz w:val="22"/>
          <w:szCs w:val="22"/>
        </w:rPr>
        <w:t>Livelli Essenziali delle Prestazioni</w:t>
      </w:r>
      <w:r w:rsidR="00C97105" w:rsidRPr="00487096">
        <w:rPr>
          <w:rStyle w:val="s2"/>
          <w:rFonts w:ascii="Bookman Old Style" w:hAnsi="Bookman Old Style"/>
          <w:sz w:val="22"/>
          <w:szCs w:val="22"/>
        </w:rPr>
        <w:t xml:space="preserve"> (LEP); </w:t>
      </w:r>
    </w:p>
    <w:p w14:paraId="094126E2" w14:textId="72225124" w:rsidR="00656BB4" w:rsidRPr="00487096" w:rsidRDefault="00656BB4" w:rsidP="00656BB4">
      <w:pPr>
        <w:tabs>
          <w:tab w:val="center" w:pos="1620"/>
          <w:tab w:val="center" w:pos="7920"/>
        </w:tabs>
        <w:spacing w:after="120"/>
        <w:jc w:val="both"/>
        <w:rPr>
          <w:rFonts w:ascii="Bookman Old Style" w:hAnsi="Bookman Old Style"/>
          <w:sz w:val="22"/>
          <w:szCs w:val="22"/>
        </w:rPr>
      </w:pPr>
      <w:bookmarkStart w:id="7" w:name="_Hlk73373558"/>
      <w:bookmarkStart w:id="8" w:name="_Hlk73370349"/>
      <w:r w:rsidRPr="00487096">
        <w:rPr>
          <w:rFonts w:ascii="Bookman Old Style" w:hAnsi="Bookman Old Style" w:cs="Calibri"/>
          <w:b/>
          <w:bCs/>
          <w:sz w:val="22"/>
          <w:szCs w:val="22"/>
        </w:rPr>
        <w:t>RITENUTO</w:t>
      </w:r>
      <w:r w:rsidRPr="00487096">
        <w:rPr>
          <w:rFonts w:ascii="Bookman Old Style" w:hAnsi="Bookman Old Style" w:cs="Calibri"/>
          <w:sz w:val="22"/>
          <w:szCs w:val="22"/>
        </w:rPr>
        <w:t xml:space="preserve"> necessario</w:t>
      </w:r>
      <w:bookmarkEnd w:id="7"/>
      <w:r w:rsidRPr="00487096">
        <w:rPr>
          <w:rFonts w:ascii="Bookman Old Style" w:hAnsi="Bookman Old Style" w:cs="Calibri"/>
          <w:sz w:val="22"/>
          <w:szCs w:val="22"/>
        </w:rPr>
        <w:t xml:space="preserve"> </w:t>
      </w:r>
      <w:bookmarkEnd w:id="8"/>
      <w:r w:rsidRPr="00487096">
        <w:rPr>
          <w:rFonts w:ascii="Bookman Old Style" w:hAnsi="Bookman Old Style" w:cs="Calibri"/>
          <w:sz w:val="22"/>
          <w:szCs w:val="22"/>
        </w:rPr>
        <w:t xml:space="preserve">introdurre nell’ordinamento </w:t>
      </w:r>
      <w:r w:rsidR="00814FB5" w:rsidRPr="00487096">
        <w:rPr>
          <w:rFonts w:ascii="Bookman Old Style" w:hAnsi="Bookman Old Style" w:cs="Calibri"/>
          <w:sz w:val="22"/>
          <w:szCs w:val="22"/>
        </w:rPr>
        <w:t>norme capaci di modificare</w:t>
      </w:r>
      <w:r w:rsidR="00C97105" w:rsidRPr="00487096">
        <w:rPr>
          <w:rFonts w:ascii="Bookman Old Style" w:hAnsi="Bookman Old Style" w:cs="Calibri"/>
          <w:sz w:val="22"/>
          <w:szCs w:val="22"/>
        </w:rPr>
        <w:t xml:space="preserve">, almeno per talune aree del Paese, </w:t>
      </w:r>
      <w:r w:rsidR="00814FB5" w:rsidRPr="00487096">
        <w:rPr>
          <w:rFonts w:ascii="Bookman Old Style" w:hAnsi="Bookman Old Style" w:cs="Calibri"/>
          <w:sz w:val="22"/>
          <w:szCs w:val="22"/>
        </w:rPr>
        <w:t xml:space="preserve">l’attuale </w:t>
      </w:r>
      <w:r w:rsidR="008C44C6">
        <w:rPr>
          <w:rFonts w:ascii="Bookman Old Style" w:hAnsi="Bookman Old Style" w:cs="Calibri"/>
          <w:sz w:val="22"/>
          <w:szCs w:val="22"/>
        </w:rPr>
        <w:t xml:space="preserve">quadro normativo in materia di </w:t>
      </w:r>
      <w:r w:rsidRPr="00487096">
        <w:rPr>
          <w:rFonts w:ascii="Bookman Old Style" w:hAnsi="Bookman Old Style" w:cs="Calibri"/>
          <w:sz w:val="22"/>
          <w:szCs w:val="22"/>
        </w:rPr>
        <w:t>a</w:t>
      </w:r>
      <w:r w:rsidR="00814FB5" w:rsidRPr="00487096">
        <w:rPr>
          <w:rFonts w:ascii="Bookman Old Style" w:hAnsi="Bookman Old Style" w:cs="Calibri"/>
          <w:sz w:val="22"/>
          <w:szCs w:val="22"/>
        </w:rPr>
        <w:t xml:space="preserve">ccertamento e </w:t>
      </w:r>
      <w:r w:rsidRPr="00487096">
        <w:rPr>
          <w:rFonts w:ascii="Bookman Old Style" w:hAnsi="Bookman Old Style" w:cs="Calibri"/>
          <w:sz w:val="22"/>
          <w:szCs w:val="22"/>
        </w:rPr>
        <w:t>riscossione de</w:t>
      </w:r>
      <w:r w:rsidR="00C97105" w:rsidRPr="00487096">
        <w:rPr>
          <w:rFonts w:ascii="Bookman Old Style" w:hAnsi="Bookman Old Style" w:cs="Calibri"/>
          <w:sz w:val="22"/>
          <w:szCs w:val="22"/>
        </w:rPr>
        <w:t xml:space="preserve">i tributi locali, </w:t>
      </w:r>
      <w:r w:rsidR="000736C7">
        <w:rPr>
          <w:rFonts w:ascii="Bookman Old Style" w:hAnsi="Bookman Old Style" w:cs="Calibri"/>
          <w:sz w:val="22"/>
          <w:szCs w:val="22"/>
        </w:rPr>
        <w:t xml:space="preserve">oltre </w:t>
      </w:r>
      <w:r w:rsidR="0069233F">
        <w:rPr>
          <w:rFonts w:ascii="Bookman Old Style" w:hAnsi="Bookman Old Style" w:cs="Calibri"/>
          <w:sz w:val="22"/>
          <w:szCs w:val="22"/>
        </w:rPr>
        <w:t>alle norme sul</w:t>
      </w:r>
      <w:r w:rsidR="00D5561E">
        <w:rPr>
          <w:rFonts w:ascii="Bookman Old Style" w:hAnsi="Bookman Old Style" w:cs="Calibri"/>
          <w:sz w:val="22"/>
          <w:szCs w:val="22"/>
        </w:rPr>
        <w:t>l’</w:t>
      </w:r>
      <w:r w:rsidRPr="00487096">
        <w:rPr>
          <w:rFonts w:ascii="Bookman Old Style" w:hAnsi="Bookman Old Style"/>
          <w:sz w:val="22"/>
          <w:szCs w:val="22"/>
        </w:rPr>
        <w:t>utilizzo dell’avanzo di amministrazione vincolato</w:t>
      </w:r>
      <w:r w:rsidR="0069233F">
        <w:rPr>
          <w:rFonts w:ascii="Bookman Old Style" w:hAnsi="Bookman Old Style" w:cs="Calibri"/>
          <w:sz w:val="22"/>
          <w:szCs w:val="22"/>
        </w:rPr>
        <w:t xml:space="preserve"> e sull’</w:t>
      </w:r>
      <w:r w:rsidRPr="00487096">
        <w:rPr>
          <w:rFonts w:ascii="Bookman Old Style" w:hAnsi="Bookman Old Style"/>
          <w:sz w:val="22"/>
          <w:szCs w:val="22"/>
        </w:rPr>
        <w:t>obblig</w:t>
      </w:r>
      <w:r w:rsidR="0069233F">
        <w:rPr>
          <w:rFonts w:ascii="Bookman Old Style" w:hAnsi="Bookman Old Style"/>
          <w:sz w:val="22"/>
          <w:szCs w:val="22"/>
        </w:rPr>
        <w:t>o</w:t>
      </w:r>
      <w:r w:rsidRPr="00487096">
        <w:rPr>
          <w:rFonts w:ascii="Bookman Old Style" w:hAnsi="Bookman Old Style"/>
          <w:sz w:val="22"/>
          <w:szCs w:val="22"/>
        </w:rPr>
        <w:t xml:space="preserve"> di accantonamento </w:t>
      </w:r>
      <w:r w:rsidR="00C97105" w:rsidRPr="00487096">
        <w:rPr>
          <w:rFonts w:ascii="Bookman Old Style" w:hAnsi="Bookman Old Style"/>
          <w:sz w:val="22"/>
          <w:szCs w:val="22"/>
        </w:rPr>
        <w:t xml:space="preserve">al </w:t>
      </w:r>
      <w:r w:rsidRPr="00487096">
        <w:rPr>
          <w:rFonts w:ascii="Bookman Old Style" w:hAnsi="Bookman Old Style"/>
          <w:sz w:val="22"/>
          <w:szCs w:val="22"/>
        </w:rPr>
        <w:t>Fondo Crediti di Dubbia esigibilità</w:t>
      </w:r>
      <w:r w:rsidR="008C44C6">
        <w:rPr>
          <w:rFonts w:ascii="Bookman Old Style" w:hAnsi="Bookman Old Style"/>
          <w:sz w:val="22"/>
          <w:szCs w:val="22"/>
        </w:rPr>
        <w:t>;</w:t>
      </w:r>
      <w:r w:rsidRPr="00487096">
        <w:rPr>
          <w:rFonts w:ascii="Bookman Old Style" w:hAnsi="Bookman Old Style"/>
          <w:sz w:val="22"/>
          <w:szCs w:val="22"/>
        </w:rPr>
        <w:t xml:space="preserve"> </w:t>
      </w:r>
    </w:p>
    <w:p w14:paraId="569987D4" w14:textId="078B4402" w:rsidR="00F24B6D" w:rsidRDefault="00F24B6D" w:rsidP="00E012A3">
      <w:pPr>
        <w:tabs>
          <w:tab w:val="center" w:pos="1620"/>
          <w:tab w:val="center" w:pos="7920"/>
        </w:tabs>
        <w:spacing w:after="120"/>
        <w:jc w:val="both"/>
        <w:rPr>
          <w:rFonts w:ascii="Bookman Old Style" w:hAnsi="Bookman Old Style" w:cs="Calibri"/>
          <w:b/>
          <w:bCs/>
          <w:sz w:val="22"/>
          <w:szCs w:val="22"/>
        </w:rPr>
      </w:pPr>
      <w:r w:rsidRPr="00487096">
        <w:rPr>
          <w:rFonts w:ascii="Bookman Old Style" w:hAnsi="Bookman Old Style" w:cs="Calibri"/>
          <w:b/>
          <w:bCs/>
          <w:sz w:val="22"/>
          <w:szCs w:val="22"/>
        </w:rPr>
        <w:t>RITENUTO</w:t>
      </w:r>
      <w:r w:rsidRPr="00487096">
        <w:rPr>
          <w:rFonts w:ascii="Bookman Old Style" w:hAnsi="Bookman Old Style" w:cs="Calibri"/>
          <w:sz w:val="22"/>
          <w:szCs w:val="22"/>
        </w:rPr>
        <w:t xml:space="preserve"> </w:t>
      </w:r>
      <w:r>
        <w:rPr>
          <w:rFonts w:ascii="Bookman Old Style" w:hAnsi="Bookman Old Style" w:cs="Calibri"/>
          <w:sz w:val="22"/>
          <w:szCs w:val="22"/>
        </w:rPr>
        <w:t>che sia necessario l’avvio di un confronto strutturato e duraturo tra Stato, Regione Siciliana ed Enti locali per affrontare le numerose critic</w:t>
      </w:r>
      <w:r w:rsidR="00B3045C">
        <w:rPr>
          <w:rFonts w:ascii="Bookman Old Style" w:hAnsi="Bookman Old Style" w:cs="Calibri"/>
          <w:sz w:val="22"/>
          <w:szCs w:val="22"/>
        </w:rPr>
        <w:t>i</w:t>
      </w:r>
      <w:r>
        <w:rPr>
          <w:rFonts w:ascii="Bookman Old Style" w:hAnsi="Bookman Old Style" w:cs="Calibri"/>
          <w:sz w:val="22"/>
          <w:szCs w:val="22"/>
        </w:rPr>
        <w:t xml:space="preserve">tà in parte evidenziate </w:t>
      </w:r>
      <w:r w:rsidR="00B3045C">
        <w:rPr>
          <w:rFonts w:ascii="Bookman Old Style" w:hAnsi="Bookman Old Style" w:cs="Calibri"/>
          <w:sz w:val="22"/>
          <w:szCs w:val="22"/>
        </w:rPr>
        <w:t>in tale atto deliberativo;</w:t>
      </w:r>
    </w:p>
    <w:p w14:paraId="6C831935" w14:textId="57E9F4BA" w:rsidR="004E0B57" w:rsidRPr="00487096" w:rsidRDefault="004E0B57" w:rsidP="00E012A3">
      <w:pPr>
        <w:tabs>
          <w:tab w:val="center" w:pos="1620"/>
          <w:tab w:val="center" w:pos="7920"/>
        </w:tabs>
        <w:spacing w:after="120"/>
        <w:jc w:val="both"/>
        <w:rPr>
          <w:rFonts w:ascii="Bookman Old Style" w:hAnsi="Bookman Old Style" w:cs="Calibri"/>
          <w:sz w:val="22"/>
          <w:szCs w:val="22"/>
        </w:rPr>
      </w:pPr>
      <w:r w:rsidRPr="00487096">
        <w:rPr>
          <w:rFonts w:ascii="Bookman Old Style" w:hAnsi="Bookman Old Style" w:cs="Calibri"/>
          <w:b/>
          <w:bCs/>
          <w:sz w:val="22"/>
          <w:szCs w:val="22"/>
        </w:rPr>
        <w:t>RITENUTA</w:t>
      </w:r>
      <w:r w:rsidRPr="00487096">
        <w:rPr>
          <w:rFonts w:ascii="Bookman Old Style" w:hAnsi="Bookman Old Style" w:cs="Calibri"/>
          <w:sz w:val="22"/>
          <w:szCs w:val="22"/>
        </w:rPr>
        <w:t xml:space="preserve"> l’opportunità di condivide</w:t>
      </w:r>
      <w:r w:rsidR="00F24B6D">
        <w:rPr>
          <w:rFonts w:ascii="Bookman Old Style" w:hAnsi="Bookman Old Style" w:cs="Calibri"/>
          <w:sz w:val="22"/>
          <w:szCs w:val="22"/>
        </w:rPr>
        <w:t>re</w:t>
      </w:r>
      <w:r w:rsidRPr="00487096">
        <w:rPr>
          <w:rFonts w:ascii="Bookman Old Style" w:hAnsi="Bookman Old Style" w:cs="Calibri"/>
          <w:sz w:val="22"/>
          <w:szCs w:val="22"/>
        </w:rPr>
        <w:t xml:space="preserve"> con i componenti dell’Organo esecutivo</w:t>
      </w:r>
      <w:r w:rsidR="00BD35EF">
        <w:rPr>
          <w:rFonts w:ascii="Bookman Old Style" w:hAnsi="Bookman Old Style" w:cs="Calibri"/>
          <w:sz w:val="22"/>
          <w:szCs w:val="22"/>
        </w:rPr>
        <w:t>;</w:t>
      </w:r>
    </w:p>
    <w:p w14:paraId="7C6AFB10" w14:textId="77777777" w:rsidR="004E0B57" w:rsidRPr="00487096" w:rsidRDefault="004E0B57" w:rsidP="00E012A3">
      <w:pPr>
        <w:tabs>
          <w:tab w:val="center" w:pos="1620"/>
          <w:tab w:val="center" w:pos="7920"/>
        </w:tabs>
        <w:spacing w:after="120"/>
        <w:jc w:val="both"/>
        <w:rPr>
          <w:rFonts w:ascii="Bookman Old Style" w:hAnsi="Bookman Old Style" w:cs="Calibri"/>
          <w:sz w:val="22"/>
          <w:szCs w:val="22"/>
        </w:rPr>
      </w:pPr>
    </w:p>
    <w:p w14:paraId="706F8984" w14:textId="12EF6126" w:rsidR="00802575" w:rsidRPr="00487096" w:rsidRDefault="00026184" w:rsidP="00684407">
      <w:pPr>
        <w:spacing w:after="120"/>
        <w:jc w:val="center"/>
        <w:rPr>
          <w:rFonts w:ascii="Bookman Old Style" w:hAnsi="Bookman Old Style"/>
          <w:b/>
          <w:bCs/>
          <w:sz w:val="22"/>
          <w:szCs w:val="22"/>
        </w:rPr>
      </w:pPr>
      <w:r w:rsidRPr="00487096">
        <w:rPr>
          <w:rFonts w:ascii="Bookman Old Style" w:hAnsi="Bookman Old Style"/>
          <w:b/>
          <w:bCs/>
          <w:sz w:val="22"/>
          <w:szCs w:val="22"/>
        </w:rPr>
        <w:t>PROPONE DI DELIBERARE</w:t>
      </w:r>
    </w:p>
    <w:p w14:paraId="0E79BD79" w14:textId="77777777" w:rsidR="00FB6407" w:rsidRPr="00487096" w:rsidRDefault="00FB6407" w:rsidP="00990E17">
      <w:pPr>
        <w:spacing w:after="120"/>
        <w:jc w:val="both"/>
        <w:rPr>
          <w:rFonts w:ascii="Bookman Old Style" w:hAnsi="Bookman Old Style"/>
          <w:sz w:val="22"/>
          <w:szCs w:val="22"/>
        </w:rPr>
      </w:pPr>
    </w:p>
    <w:p w14:paraId="01FB8C69" w14:textId="3C93D5B1" w:rsidR="00026184" w:rsidRPr="00487096" w:rsidRDefault="00026184" w:rsidP="00990E17">
      <w:pPr>
        <w:spacing w:after="120"/>
        <w:jc w:val="both"/>
        <w:rPr>
          <w:rFonts w:ascii="Bookman Old Style" w:hAnsi="Bookman Old Style"/>
          <w:sz w:val="22"/>
          <w:szCs w:val="22"/>
        </w:rPr>
      </w:pPr>
      <w:r w:rsidRPr="00487096">
        <w:rPr>
          <w:rFonts w:ascii="Bookman Old Style" w:hAnsi="Bookman Old Style"/>
          <w:sz w:val="22"/>
          <w:szCs w:val="22"/>
        </w:rPr>
        <w:t>Per le superiori motivazioni che s’intendono ripetute e trascritte</w:t>
      </w:r>
    </w:p>
    <w:p w14:paraId="65A7A63F" w14:textId="330937AC" w:rsidR="00802575" w:rsidRPr="009B56BE" w:rsidRDefault="00BA3325" w:rsidP="00A648F5">
      <w:pPr>
        <w:spacing w:after="120"/>
        <w:jc w:val="both"/>
        <w:rPr>
          <w:rFonts w:ascii="Bookman Old Style" w:hAnsi="Bookman Old Style"/>
          <w:color w:val="FF0000"/>
          <w:sz w:val="22"/>
          <w:szCs w:val="22"/>
        </w:rPr>
      </w:pPr>
      <w:r w:rsidRPr="009B56BE">
        <w:rPr>
          <w:rFonts w:ascii="Bookman Old Style" w:hAnsi="Bookman Old Style"/>
          <w:b/>
          <w:bCs/>
          <w:color w:val="FF0000"/>
          <w:sz w:val="22"/>
          <w:szCs w:val="22"/>
        </w:rPr>
        <w:t>PRENDERE ATTO</w:t>
      </w:r>
      <w:r w:rsidR="00026184" w:rsidRPr="009B56BE">
        <w:rPr>
          <w:rFonts w:ascii="Bookman Old Style" w:hAnsi="Bookman Old Style"/>
          <w:color w:val="FF0000"/>
          <w:sz w:val="22"/>
          <w:szCs w:val="22"/>
        </w:rPr>
        <w:t xml:space="preserve"> che l’Ente</w:t>
      </w:r>
      <w:r w:rsidR="00AA4960" w:rsidRPr="009B56BE">
        <w:rPr>
          <w:rFonts w:ascii="Bookman Old Style" w:hAnsi="Bookman Old Style"/>
          <w:color w:val="FF0000"/>
          <w:sz w:val="22"/>
          <w:szCs w:val="22"/>
        </w:rPr>
        <w:t>, dovendo rispettare gli obblighi previsti dalla normativa vigente e volendo garantire livelli soddisfacenti di erogazione dei servizi ai Cittadini,</w:t>
      </w:r>
      <w:r w:rsidR="00026184" w:rsidRPr="009B56BE">
        <w:rPr>
          <w:rFonts w:ascii="Bookman Old Style" w:hAnsi="Bookman Old Style"/>
          <w:color w:val="FF0000"/>
          <w:sz w:val="22"/>
          <w:szCs w:val="22"/>
        </w:rPr>
        <w:t xml:space="preserve"> </w:t>
      </w:r>
      <w:r w:rsidR="00026184" w:rsidRPr="00D21EC1">
        <w:rPr>
          <w:rFonts w:ascii="Bookman Old Style" w:hAnsi="Bookman Old Style"/>
          <w:color w:val="FF0000"/>
          <w:sz w:val="22"/>
          <w:szCs w:val="22"/>
          <w:u w:val="single"/>
        </w:rPr>
        <w:t>non è in grado</w:t>
      </w:r>
      <w:r w:rsidR="00026184" w:rsidRPr="009B56BE">
        <w:rPr>
          <w:rFonts w:ascii="Bookman Old Style" w:hAnsi="Bookman Old Style"/>
          <w:color w:val="FF0000"/>
          <w:sz w:val="22"/>
          <w:szCs w:val="22"/>
        </w:rPr>
        <w:t xml:space="preserve"> di predisporre il bilancio di previsione 2021/2023 in equilibrio economico-finanziario</w:t>
      </w:r>
      <w:r w:rsidR="00EB4786" w:rsidRPr="009B56BE">
        <w:rPr>
          <w:rFonts w:ascii="Bookman Old Style" w:hAnsi="Bookman Old Style"/>
          <w:color w:val="FF0000"/>
          <w:sz w:val="22"/>
          <w:szCs w:val="22"/>
        </w:rPr>
        <w:t>;</w:t>
      </w:r>
    </w:p>
    <w:p w14:paraId="03A987D9" w14:textId="592A9EF0" w:rsidR="009B56BE" w:rsidRPr="008C7FF1" w:rsidRDefault="009B56BE" w:rsidP="008C7FF1">
      <w:pPr>
        <w:spacing w:after="120"/>
        <w:jc w:val="center"/>
        <w:rPr>
          <w:rFonts w:ascii="Bookman Old Style" w:hAnsi="Bookman Old Style"/>
          <w:b/>
          <w:bCs/>
          <w:color w:val="FF0000"/>
          <w:sz w:val="22"/>
          <w:szCs w:val="22"/>
        </w:rPr>
      </w:pPr>
      <w:r w:rsidRPr="008C7FF1">
        <w:rPr>
          <w:rFonts w:ascii="Bookman Old Style" w:hAnsi="Bookman Old Style"/>
          <w:b/>
          <w:bCs/>
          <w:color w:val="FF0000"/>
          <w:sz w:val="22"/>
          <w:szCs w:val="22"/>
          <w:highlight w:val="yellow"/>
        </w:rPr>
        <w:t>O IN ALTERNATIVA</w:t>
      </w:r>
    </w:p>
    <w:p w14:paraId="1AFE90E4" w14:textId="68A10E6B" w:rsidR="009B56BE" w:rsidRPr="009B56BE" w:rsidRDefault="009B56BE" w:rsidP="009B56BE">
      <w:pPr>
        <w:spacing w:after="120"/>
        <w:jc w:val="both"/>
        <w:rPr>
          <w:rFonts w:ascii="Bookman Old Style" w:hAnsi="Bookman Old Style"/>
          <w:color w:val="FF0000"/>
          <w:sz w:val="22"/>
          <w:szCs w:val="22"/>
        </w:rPr>
      </w:pPr>
      <w:r w:rsidRPr="009B56BE">
        <w:rPr>
          <w:rFonts w:ascii="Bookman Old Style" w:hAnsi="Bookman Old Style"/>
          <w:b/>
          <w:bCs/>
          <w:color w:val="FF0000"/>
          <w:sz w:val="22"/>
          <w:szCs w:val="22"/>
        </w:rPr>
        <w:t>PRENDERE ATTO</w:t>
      </w:r>
      <w:r w:rsidRPr="009B56BE">
        <w:rPr>
          <w:rFonts w:ascii="Bookman Old Style" w:hAnsi="Bookman Old Style"/>
          <w:color w:val="FF0000"/>
          <w:sz w:val="22"/>
          <w:szCs w:val="22"/>
        </w:rPr>
        <w:t xml:space="preserve"> che l’Ente, dovendo rispettare gli obblighi previsti dalla normativa vigente</w:t>
      </w:r>
      <w:r w:rsidR="00A6221A">
        <w:rPr>
          <w:rFonts w:ascii="Bookman Old Style" w:hAnsi="Bookman Old Style"/>
          <w:color w:val="FF0000"/>
          <w:sz w:val="22"/>
          <w:szCs w:val="22"/>
        </w:rPr>
        <w:t xml:space="preserve">, </w:t>
      </w:r>
      <w:r w:rsidR="00A6221A" w:rsidRPr="00D21EC1">
        <w:rPr>
          <w:rFonts w:ascii="Bookman Old Style" w:hAnsi="Bookman Old Style"/>
          <w:color w:val="FF0000"/>
          <w:sz w:val="22"/>
          <w:szCs w:val="22"/>
          <w:u w:val="single"/>
        </w:rPr>
        <w:t xml:space="preserve">ha </w:t>
      </w:r>
      <w:r w:rsidR="009A4AC2" w:rsidRPr="00D21EC1">
        <w:rPr>
          <w:rFonts w:ascii="Bookman Old Style" w:hAnsi="Bookman Old Style"/>
          <w:color w:val="FF0000"/>
          <w:sz w:val="22"/>
          <w:szCs w:val="22"/>
          <w:u w:val="single"/>
        </w:rPr>
        <w:t>approvato</w:t>
      </w:r>
      <w:r w:rsidR="009A4AC2">
        <w:rPr>
          <w:rFonts w:ascii="Bookman Old Style" w:hAnsi="Bookman Old Style"/>
          <w:color w:val="FF0000"/>
          <w:sz w:val="22"/>
          <w:szCs w:val="22"/>
        </w:rPr>
        <w:t xml:space="preserve"> </w:t>
      </w:r>
      <w:r w:rsidR="009A4AC2" w:rsidRPr="009B56BE">
        <w:rPr>
          <w:rFonts w:ascii="Bookman Old Style" w:hAnsi="Bookman Old Style"/>
          <w:color w:val="FF0000"/>
          <w:sz w:val="22"/>
          <w:szCs w:val="22"/>
        </w:rPr>
        <w:t xml:space="preserve">il bilancio di previsione 2021/2023 in equilibrio economico-finanziario </w:t>
      </w:r>
      <w:r w:rsidR="00A06BCE">
        <w:rPr>
          <w:rFonts w:ascii="Bookman Old Style" w:hAnsi="Bookman Old Style"/>
          <w:color w:val="FF0000"/>
          <w:sz w:val="22"/>
          <w:szCs w:val="22"/>
        </w:rPr>
        <w:t>solo a seguito di particolari sacrifici</w:t>
      </w:r>
      <w:r w:rsidR="008C7FF1">
        <w:rPr>
          <w:rFonts w:ascii="Bookman Old Style" w:hAnsi="Bookman Old Style"/>
          <w:color w:val="FF0000"/>
          <w:sz w:val="22"/>
          <w:szCs w:val="22"/>
        </w:rPr>
        <w:t>…</w:t>
      </w:r>
      <w:r w:rsidRPr="009B56BE">
        <w:rPr>
          <w:rFonts w:ascii="Bookman Old Style" w:hAnsi="Bookman Old Style"/>
          <w:color w:val="FF0000"/>
          <w:sz w:val="22"/>
          <w:szCs w:val="22"/>
        </w:rPr>
        <w:t>;</w:t>
      </w:r>
    </w:p>
    <w:p w14:paraId="70873D51" w14:textId="77777777" w:rsidR="008C7FF1" w:rsidRPr="008C7FF1" w:rsidRDefault="008C7FF1" w:rsidP="008C7FF1">
      <w:pPr>
        <w:spacing w:after="120"/>
        <w:jc w:val="center"/>
        <w:rPr>
          <w:rFonts w:ascii="Bookman Old Style" w:hAnsi="Bookman Old Style"/>
          <w:b/>
          <w:bCs/>
          <w:color w:val="FF0000"/>
          <w:sz w:val="22"/>
          <w:szCs w:val="22"/>
        </w:rPr>
      </w:pPr>
      <w:r w:rsidRPr="008C7FF1">
        <w:rPr>
          <w:rFonts w:ascii="Bookman Old Style" w:hAnsi="Bookman Old Style"/>
          <w:b/>
          <w:bCs/>
          <w:color w:val="FF0000"/>
          <w:sz w:val="22"/>
          <w:szCs w:val="22"/>
          <w:highlight w:val="yellow"/>
        </w:rPr>
        <w:t>O IN ALTERNATIVA</w:t>
      </w:r>
    </w:p>
    <w:p w14:paraId="0F48322F" w14:textId="7439F0DB" w:rsidR="008C7FF1" w:rsidRPr="009B56BE" w:rsidRDefault="008C7FF1" w:rsidP="008C7FF1">
      <w:pPr>
        <w:spacing w:after="120"/>
        <w:jc w:val="both"/>
        <w:rPr>
          <w:rFonts w:ascii="Bookman Old Style" w:hAnsi="Bookman Old Style"/>
          <w:color w:val="FF0000"/>
          <w:sz w:val="22"/>
          <w:szCs w:val="22"/>
        </w:rPr>
      </w:pPr>
      <w:r w:rsidRPr="009B56BE">
        <w:rPr>
          <w:rFonts w:ascii="Bookman Old Style" w:hAnsi="Bookman Old Style"/>
          <w:b/>
          <w:bCs/>
          <w:color w:val="FF0000"/>
          <w:sz w:val="22"/>
          <w:szCs w:val="22"/>
        </w:rPr>
        <w:t>PRENDERE ATTO</w:t>
      </w:r>
      <w:r w:rsidRPr="009B56BE">
        <w:rPr>
          <w:rFonts w:ascii="Bookman Old Style" w:hAnsi="Bookman Old Style"/>
          <w:color w:val="FF0000"/>
          <w:sz w:val="22"/>
          <w:szCs w:val="22"/>
        </w:rPr>
        <w:t xml:space="preserve"> che l’Ente, dovendo rispettare gli obblighi previsti dalla normativa vigente</w:t>
      </w:r>
      <w:r>
        <w:rPr>
          <w:rFonts w:ascii="Bookman Old Style" w:hAnsi="Bookman Old Style"/>
          <w:color w:val="FF0000"/>
          <w:sz w:val="22"/>
          <w:szCs w:val="22"/>
        </w:rPr>
        <w:t xml:space="preserve">, </w:t>
      </w:r>
      <w:r w:rsidRPr="00B24BD3">
        <w:rPr>
          <w:rFonts w:ascii="Bookman Old Style" w:hAnsi="Bookman Old Style"/>
          <w:color w:val="FF0000"/>
          <w:sz w:val="22"/>
          <w:szCs w:val="22"/>
          <w:u w:val="single"/>
        </w:rPr>
        <w:t>ha approvato</w:t>
      </w:r>
      <w:r>
        <w:rPr>
          <w:rFonts w:ascii="Bookman Old Style" w:hAnsi="Bookman Old Style"/>
          <w:color w:val="FF0000"/>
          <w:sz w:val="22"/>
          <w:szCs w:val="22"/>
        </w:rPr>
        <w:t xml:space="preserve"> </w:t>
      </w:r>
      <w:r w:rsidRPr="009B56BE">
        <w:rPr>
          <w:rFonts w:ascii="Bookman Old Style" w:hAnsi="Bookman Old Style"/>
          <w:color w:val="FF0000"/>
          <w:sz w:val="22"/>
          <w:szCs w:val="22"/>
        </w:rPr>
        <w:t>il bilancio di previsione 2021/2023 in equilibrio economico-finanziario</w:t>
      </w:r>
      <w:r w:rsidR="00B24BD3">
        <w:rPr>
          <w:rFonts w:ascii="Bookman Old Style" w:hAnsi="Bookman Old Style"/>
          <w:color w:val="FF0000"/>
          <w:sz w:val="22"/>
          <w:szCs w:val="22"/>
        </w:rPr>
        <w:t>,</w:t>
      </w:r>
      <w:r w:rsidRPr="009B56BE">
        <w:rPr>
          <w:rFonts w:ascii="Bookman Old Style" w:hAnsi="Bookman Old Style"/>
          <w:color w:val="FF0000"/>
          <w:sz w:val="22"/>
          <w:szCs w:val="22"/>
        </w:rPr>
        <w:t xml:space="preserve"> </w:t>
      </w:r>
      <w:r w:rsidR="00B24BD3">
        <w:rPr>
          <w:rFonts w:ascii="Bookman Old Style" w:hAnsi="Bookman Old Style"/>
          <w:color w:val="FF0000"/>
          <w:sz w:val="22"/>
          <w:szCs w:val="22"/>
        </w:rPr>
        <w:t>ma è consapevole che</w:t>
      </w:r>
      <w:r w:rsidR="00715636">
        <w:rPr>
          <w:rFonts w:ascii="Bookman Old Style" w:hAnsi="Bookman Old Style"/>
          <w:color w:val="FF0000"/>
          <w:sz w:val="22"/>
          <w:szCs w:val="22"/>
        </w:rPr>
        <w:t>,</w:t>
      </w:r>
      <w:r w:rsidR="00B24BD3">
        <w:rPr>
          <w:rFonts w:ascii="Bookman Old Style" w:hAnsi="Bookman Old Style"/>
          <w:color w:val="FF0000"/>
          <w:sz w:val="22"/>
          <w:szCs w:val="22"/>
        </w:rPr>
        <w:t xml:space="preserve"> in assenza di adeguate riforme normative</w:t>
      </w:r>
      <w:r w:rsidR="00715636">
        <w:rPr>
          <w:rFonts w:ascii="Bookman Old Style" w:hAnsi="Bookman Old Style"/>
          <w:color w:val="FF0000"/>
          <w:sz w:val="22"/>
          <w:szCs w:val="22"/>
        </w:rPr>
        <w:t xml:space="preserve">, </w:t>
      </w:r>
      <w:r w:rsidR="00D762B0">
        <w:rPr>
          <w:rFonts w:ascii="Bookman Old Style" w:hAnsi="Bookman Old Style"/>
          <w:color w:val="FF0000"/>
          <w:sz w:val="22"/>
          <w:szCs w:val="22"/>
        </w:rPr>
        <w:t>la condizione finanziaria dell’Ente tenderà ad aggravarsi</w:t>
      </w:r>
      <w:r w:rsidRPr="009B56BE">
        <w:rPr>
          <w:rFonts w:ascii="Bookman Old Style" w:hAnsi="Bookman Old Style"/>
          <w:color w:val="FF0000"/>
          <w:sz w:val="22"/>
          <w:szCs w:val="22"/>
        </w:rPr>
        <w:t>;</w:t>
      </w:r>
    </w:p>
    <w:p w14:paraId="7568B9B2" w14:textId="7749D4C6" w:rsidR="00A648F5" w:rsidRPr="00B233E4" w:rsidRDefault="00B233E4" w:rsidP="00A648F5">
      <w:pPr>
        <w:spacing w:after="120"/>
        <w:jc w:val="both"/>
        <w:rPr>
          <w:rFonts w:ascii="Bookman Old Style" w:hAnsi="Bookman Old Style"/>
          <w:sz w:val="22"/>
          <w:szCs w:val="22"/>
        </w:rPr>
      </w:pPr>
      <w:r w:rsidRPr="00B233E4">
        <w:rPr>
          <w:rFonts w:ascii="Bookman Old Style" w:hAnsi="Bookman Old Style"/>
          <w:b/>
          <w:bCs/>
          <w:sz w:val="22"/>
          <w:szCs w:val="22"/>
        </w:rPr>
        <w:t xml:space="preserve">DARE MANDATO </w:t>
      </w:r>
      <w:r w:rsidRPr="00B233E4">
        <w:rPr>
          <w:rFonts w:ascii="Bookman Old Style" w:hAnsi="Bookman Old Style"/>
          <w:sz w:val="22"/>
          <w:szCs w:val="22"/>
        </w:rPr>
        <w:t xml:space="preserve">al Sindaco di avanzare specifica richiesta nelle sedi opportune per l'avvio di un confronto strutturato e duraturo tra Stato, Regione Siciliana ed Enti locali per affrontare le numerose criticità in parte evidenziate in tale atto deliberativo, non potendo risolvere in altro modo la perdurante impossibilità di approvare </w:t>
      </w:r>
      <w:r w:rsidR="000C6E9B">
        <w:rPr>
          <w:rFonts w:ascii="Bookman Old Style" w:hAnsi="Bookman Old Style"/>
          <w:sz w:val="22"/>
          <w:szCs w:val="22"/>
        </w:rPr>
        <w:t xml:space="preserve">strumenti finanziari che </w:t>
      </w:r>
      <w:r w:rsidR="00EF616D">
        <w:rPr>
          <w:rFonts w:ascii="Bookman Old Style" w:hAnsi="Bookman Old Style"/>
          <w:sz w:val="22"/>
          <w:szCs w:val="22"/>
        </w:rPr>
        <w:t>non penalizzino i Cittadini</w:t>
      </w:r>
      <w:r w:rsidRPr="00B233E4">
        <w:rPr>
          <w:rFonts w:ascii="Bookman Old Style" w:hAnsi="Bookman Old Style"/>
          <w:sz w:val="22"/>
          <w:szCs w:val="22"/>
        </w:rPr>
        <w:t xml:space="preserve">, </w:t>
      </w:r>
      <w:r w:rsidRPr="00E93337">
        <w:rPr>
          <w:rFonts w:ascii="Bookman Old Style" w:hAnsi="Bookman Old Style"/>
          <w:color w:val="FF0000"/>
          <w:sz w:val="22"/>
          <w:szCs w:val="22"/>
        </w:rPr>
        <w:t xml:space="preserve">valutando </w:t>
      </w:r>
      <w:r w:rsidR="00F32CE6" w:rsidRPr="00E93337">
        <w:rPr>
          <w:rFonts w:ascii="Bookman Old Style" w:hAnsi="Bookman Old Style"/>
          <w:color w:val="FF0000"/>
          <w:sz w:val="22"/>
          <w:szCs w:val="22"/>
        </w:rPr>
        <w:t>anche la sospen</w:t>
      </w:r>
      <w:r w:rsidR="00CA701D" w:rsidRPr="00E93337">
        <w:rPr>
          <w:rFonts w:ascii="Bookman Old Style" w:hAnsi="Bookman Old Style"/>
          <w:color w:val="FF0000"/>
          <w:sz w:val="22"/>
          <w:szCs w:val="22"/>
        </w:rPr>
        <w:t>s</w:t>
      </w:r>
      <w:r w:rsidR="00F32CE6" w:rsidRPr="00E93337">
        <w:rPr>
          <w:rFonts w:ascii="Bookman Old Style" w:hAnsi="Bookman Old Style"/>
          <w:color w:val="FF0000"/>
          <w:sz w:val="22"/>
          <w:szCs w:val="22"/>
        </w:rPr>
        <w:t>ione</w:t>
      </w:r>
      <w:r w:rsidR="00CA701D" w:rsidRPr="00E93337">
        <w:rPr>
          <w:rFonts w:ascii="Bookman Old Style" w:hAnsi="Bookman Old Style"/>
          <w:color w:val="FF0000"/>
          <w:sz w:val="22"/>
          <w:szCs w:val="22"/>
        </w:rPr>
        <w:t xml:space="preserve"> del</w:t>
      </w:r>
      <w:r w:rsidR="00C442BA" w:rsidRPr="00E93337">
        <w:rPr>
          <w:rFonts w:ascii="Bookman Old Style" w:hAnsi="Bookman Old Style"/>
          <w:color w:val="FF0000"/>
          <w:sz w:val="22"/>
          <w:szCs w:val="22"/>
        </w:rPr>
        <w:t>l’iter di approvazione del bilancio di previsione 2021/2023</w:t>
      </w:r>
      <w:r>
        <w:rPr>
          <w:rFonts w:ascii="Bookman Old Style" w:hAnsi="Bookman Old Style"/>
          <w:sz w:val="22"/>
          <w:szCs w:val="22"/>
        </w:rPr>
        <w:t>;</w:t>
      </w:r>
    </w:p>
    <w:p w14:paraId="05CD5456" w14:textId="73051003" w:rsidR="007075B5" w:rsidRPr="00487096" w:rsidRDefault="00BA3325" w:rsidP="00A648F5">
      <w:pPr>
        <w:tabs>
          <w:tab w:val="center" w:pos="1620"/>
          <w:tab w:val="center" w:pos="7920"/>
        </w:tabs>
        <w:spacing w:after="120"/>
        <w:jc w:val="both"/>
        <w:rPr>
          <w:rFonts w:ascii="Bookman Old Style" w:hAnsi="Bookman Old Style"/>
          <w:sz w:val="22"/>
          <w:szCs w:val="22"/>
        </w:rPr>
      </w:pPr>
      <w:r w:rsidRPr="00487096">
        <w:rPr>
          <w:rFonts w:ascii="Bookman Old Style" w:hAnsi="Bookman Old Style"/>
          <w:b/>
          <w:bCs/>
          <w:sz w:val="22"/>
          <w:szCs w:val="22"/>
        </w:rPr>
        <w:t>TRASMETTERE</w:t>
      </w:r>
      <w:r w:rsidRPr="00487096">
        <w:rPr>
          <w:rFonts w:ascii="Bookman Old Style" w:hAnsi="Bookman Old Style"/>
          <w:sz w:val="22"/>
          <w:szCs w:val="22"/>
        </w:rPr>
        <w:t xml:space="preserve"> </w:t>
      </w:r>
      <w:r w:rsidR="007075B5" w:rsidRPr="00487096">
        <w:rPr>
          <w:rFonts w:ascii="Bookman Old Style" w:hAnsi="Bookman Old Style"/>
          <w:sz w:val="22"/>
          <w:szCs w:val="22"/>
        </w:rPr>
        <w:t>la presente deliberazione</w:t>
      </w:r>
      <w:r w:rsidR="00170BC7">
        <w:rPr>
          <w:rFonts w:ascii="Bookman Old Style" w:hAnsi="Bookman Old Style"/>
          <w:sz w:val="22"/>
          <w:szCs w:val="22"/>
        </w:rPr>
        <w:t>,</w:t>
      </w:r>
      <w:r w:rsidR="007075B5" w:rsidRPr="00487096">
        <w:rPr>
          <w:rFonts w:ascii="Bookman Old Style" w:hAnsi="Bookman Old Style"/>
          <w:sz w:val="22"/>
          <w:szCs w:val="22"/>
        </w:rPr>
        <w:t xml:space="preserve"> per fini conoscitivi e al fine di </w:t>
      </w:r>
      <w:r w:rsidR="003D033C">
        <w:rPr>
          <w:rFonts w:ascii="Bookman Old Style" w:hAnsi="Bookman Old Style"/>
          <w:sz w:val="22"/>
          <w:szCs w:val="22"/>
        </w:rPr>
        <w:t xml:space="preserve">favorire </w:t>
      </w:r>
      <w:r w:rsidR="0055269D">
        <w:rPr>
          <w:rFonts w:ascii="Bookman Old Style" w:hAnsi="Bookman Old Style"/>
          <w:sz w:val="22"/>
          <w:szCs w:val="22"/>
        </w:rPr>
        <w:t xml:space="preserve">l’avvio di un percorso finalizzato </w:t>
      </w:r>
      <w:r w:rsidR="00081292">
        <w:rPr>
          <w:rFonts w:ascii="Bookman Old Style" w:hAnsi="Bookman Old Style"/>
          <w:sz w:val="22"/>
          <w:szCs w:val="22"/>
        </w:rPr>
        <w:t>ad una modifica dell’attuale quadro normativo e dei rapporti finanziari tra Stato, Regione Siciliana</w:t>
      </w:r>
      <w:r w:rsidR="00410F51">
        <w:rPr>
          <w:rFonts w:ascii="Bookman Old Style" w:hAnsi="Bookman Old Style"/>
          <w:sz w:val="22"/>
          <w:szCs w:val="22"/>
        </w:rPr>
        <w:t xml:space="preserve"> ed Enti locali dell’Isola, </w:t>
      </w:r>
      <w:r w:rsidR="007075B5" w:rsidRPr="00487096">
        <w:rPr>
          <w:rFonts w:ascii="Bookman Old Style" w:hAnsi="Bookman Old Style"/>
          <w:sz w:val="22"/>
          <w:szCs w:val="22"/>
        </w:rPr>
        <w:t xml:space="preserve">ai seguenti soggetti istituzionali: </w:t>
      </w:r>
    </w:p>
    <w:p w14:paraId="31290870" w14:textId="77777777" w:rsidR="007075B5" w:rsidRPr="00487096" w:rsidRDefault="007075B5" w:rsidP="00E012A3">
      <w:pPr>
        <w:pStyle w:val="Paragrafoelenco"/>
        <w:numPr>
          <w:ilvl w:val="0"/>
          <w:numId w:val="25"/>
        </w:numPr>
        <w:tabs>
          <w:tab w:val="center" w:pos="1620"/>
          <w:tab w:val="center" w:pos="7920"/>
        </w:tabs>
        <w:spacing w:after="120"/>
        <w:contextualSpacing w:val="0"/>
        <w:jc w:val="both"/>
        <w:rPr>
          <w:rFonts w:ascii="Bookman Old Style" w:hAnsi="Bookman Old Style"/>
          <w:sz w:val="22"/>
          <w:szCs w:val="22"/>
        </w:rPr>
      </w:pPr>
      <w:r w:rsidRPr="00487096">
        <w:rPr>
          <w:rFonts w:ascii="Bookman Old Style" w:hAnsi="Bookman Old Style"/>
          <w:sz w:val="22"/>
          <w:szCs w:val="22"/>
        </w:rPr>
        <w:t xml:space="preserve">Presidente Consiglio dei Ministri </w:t>
      </w:r>
    </w:p>
    <w:p w14:paraId="0E357613" w14:textId="77777777" w:rsidR="007075B5" w:rsidRPr="00487096" w:rsidRDefault="007075B5" w:rsidP="00E012A3">
      <w:pPr>
        <w:pStyle w:val="Paragrafoelenco"/>
        <w:numPr>
          <w:ilvl w:val="0"/>
          <w:numId w:val="25"/>
        </w:numPr>
        <w:tabs>
          <w:tab w:val="center" w:pos="1620"/>
          <w:tab w:val="center" w:pos="7920"/>
        </w:tabs>
        <w:spacing w:after="120"/>
        <w:contextualSpacing w:val="0"/>
        <w:jc w:val="both"/>
        <w:rPr>
          <w:rFonts w:ascii="Bookman Old Style" w:hAnsi="Bookman Old Style"/>
          <w:sz w:val="22"/>
          <w:szCs w:val="22"/>
        </w:rPr>
      </w:pPr>
      <w:r w:rsidRPr="00487096">
        <w:rPr>
          <w:rFonts w:ascii="Bookman Old Style" w:hAnsi="Bookman Old Style"/>
          <w:sz w:val="22"/>
          <w:szCs w:val="22"/>
        </w:rPr>
        <w:t xml:space="preserve">Presidenti Senato e Camera </w:t>
      </w:r>
    </w:p>
    <w:p w14:paraId="33FF7206" w14:textId="77777777" w:rsidR="007075B5" w:rsidRPr="00487096" w:rsidRDefault="007075B5" w:rsidP="00E012A3">
      <w:pPr>
        <w:pStyle w:val="Paragrafoelenco"/>
        <w:numPr>
          <w:ilvl w:val="0"/>
          <w:numId w:val="25"/>
        </w:numPr>
        <w:tabs>
          <w:tab w:val="center" w:pos="1620"/>
          <w:tab w:val="center" w:pos="7920"/>
        </w:tabs>
        <w:spacing w:after="120"/>
        <w:contextualSpacing w:val="0"/>
        <w:jc w:val="both"/>
        <w:rPr>
          <w:rFonts w:ascii="Bookman Old Style" w:hAnsi="Bookman Old Style"/>
          <w:sz w:val="22"/>
          <w:szCs w:val="22"/>
        </w:rPr>
      </w:pPr>
      <w:r w:rsidRPr="00487096">
        <w:rPr>
          <w:rFonts w:ascii="Bookman Old Style" w:hAnsi="Bookman Old Style"/>
          <w:sz w:val="22"/>
          <w:szCs w:val="22"/>
        </w:rPr>
        <w:t xml:space="preserve">Ministro degli Interni </w:t>
      </w:r>
    </w:p>
    <w:p w14:paraId="69C60FB7" w14:textId="77777777" w:rsidR="007075B5" w:rsidRPr="00487096" w:rsidRDefault="007075B5" w:rsidP="00E012A3">
      <w:pPr>
        <w:pStyle w:val="Paragrafoelenco"/>
        <w:numPr>
          <w:ilvl w:val="0"/>
          <w:numId w:val="25"/>
        </w:numPr>
        <w:tabs>
          <w:tab w:val="center" w:pos="1620"/>
          <w:tab w:val="center" w:pos="7920"/>
        </w:tabs>
        <w:spacing w:after="120"/>
        <w:contextualSpacing w:val="0"/>
        <w:jc w:val="both"/>
        <w:rPr>
          <w:rFonts w:ascii="Bookman Old Style" w:hAnsi="Bookman Old Style"/>
          <w:sz w:val="22"/>
          <w:szCs w:val="22"/>
        </w:rPr>
      </w:pPr>
      <w:r w:rsidRPr="00487096">
        <w:rPr>
          <w:rFonts w:ascii="Bookman Old Style" w:hAnsi="Bookman Old Style"/>
          <w:sz w:val="22"/>
          <w:szCs w:val="22"/>
        </w:rPr>
        <w:t xml:space="preserve">Ministro dell’Economia </w:t>
      </w:r>
    </w:p>
    <w:p w14:paraId="6E55E0E1" w14:textId="77777777" w:rsidR="007075B5" w:rsidRPr="00487096" w:rsidRDefault="007075B5" w:rsidP="00E012A3">
      <w:pPr>
        <w:pStyle w:val="Paragrafoelenco"/>
        <w:numPr>
          <w:ilvl w:val="0"/>
          <w:numId w:val="25"/>
        </w:numPr>
        <w:tabs>
          <w:tab w:val="center" w:pos="1620"/>
          <w:tab w:val="center" w:pos="7920"/>
        </w:tabs>
        <w:spacing w:after="120"/>
        <w:contextualSpacing w:val="0"/>
        <w:jc w:val="both"/>
        <w:rPr>
          <w:rFonts w:ascii="Bookman Old Style" w:hAnsi="Bookman Old Style"/>
          <w:sz w:val="22"/>
          <w:szCs w:val="22"/>
        </w:rPr>
      </w:pPr>
      <w:r w:rsidRPr="00487096">
        <w:rPr>
          <w:rFonts w:ascii="Bookman Old Style" w:hAnsi="Bookman Old Style"/>
          <w:sz w:val="22"/>
          <w:szCs w:val="22"/>
        </w:rPr>
        <w:t xml:space="preserve">Ministro Affari Regionali e Autonomie </w:t>
      </w:r>
    </w:p>
    <w:p w14:paraId="6FA10C2D" w14:textId="77777777" w:rsidR="007075B5" w:rsidRPr="00487096" w:rsidRDefault="007075B5" w:rsidP="00E012A3">
      <w:pPr>
        <w:pStyle w:val="Paragrafoelenco"/>
        <w:numPr>
          <w:ilvl w:val="0"/>
          <w:numId w:val="25"/>
        </w:numPr>
        <w:tabs>
          <w:tab w:val="center" w:pos="1620"/>
          <w:tab w:val="center" w:pos="7920"/>
        </w:tabs>
        <w:spacing w:after="120"/>
        <w:contextualSpacing w:val="0"/>
        <w:jc w:val="both"/>
        <w:rPr>
          <w:rFonts w:ascii="Bookman Old Style" w:hAnsi="Bookman Old Style"/>
          <w:sz w:val="22"/>
          <w:szCs w:val="22"/>
        </w:rPr>
      </w:pPr>
      <w:r w:rsidRPr="00487096">
        <w:rPr>
          <w:rFonts w:ascii="Bookman Old Style" w:hAnsi="Bookman Old Style"/>
          <w:sz w:val="22"/>
          <w:szCs w:val="22"/>
        </w:rPr>
        <w:lastRenderedPageBreak/>
        <w:t>Ministro per la Coesione Territoriale</w:t>
      </w:r>
    </w:p>
    <w:p w14:paraId="105CFEAE" w14:textId="478CFF7E" w:rsidR="007075B5" w:rsidRPr="00487096" w:rsidRDefault="007075B5" w:rsidP="00E012A3">
      <w:pPr>
        <w:pStyle w:val="Paragrafoelenco"/>
        <w:numPr>
          <w:ilvl w:val="0"/>
          <w:numId w:val="25"/>
        </w:numPr>
        <w:tabs>
          <w:tab w:val="center" w:pos="1620"/>
          <w:tab w:val="center" w:pos="7920"/>
        </w:tabs>
        <w:spacing w:after="120"/>
        <w:contextualSpacing w:val="0"/>
        <w:jc w:val="both"/>
        <w:rPr>
          <w:rFonts w:ascii="Bookman Old Style" w:hAnsi="Bookman Old Style"/>
          <w:color w:val="FF0000"/>
          <w:sz w:val="22"/>
          <w:szCs w:val="22"/>
        </w:rPr>
      </w:pPr>
      <w:r w:rsidRPr="00487096">
        <w:rPr>
          <w:rFonts w:ascii="Bookman Old Style" w:hAnsi="Bookman Old Style"/>
          <w:color w:val="FF0000"/>
          <w:sz w:val="22"/>
          <w:szCs w:val="22"/>
        </w:rPr>
        <w:t xml:space="preserve">Prefetto di </w:t>
      </w:r>
      <w:r w:rsidR="00EC22C0" w:rsidRPr="00487096">
        <w:rPr>
          <w:rFonts w:ascii="Bookman Old Style" w:hAnsi="Bookman Old Style"/>
          <w:color w:val="FF0000"/>
          <w:sz w:val="22"/>
          <w:szCs w:val="22"/>
        </w:rPr>
        <w:t>__________</w:t>
      </w:r>
      <w:r w:rsidRPr="00487096">
        <w:rPr>
          <w:rFonts w:ascii="Bookman Old Style" w:hAnsi="Bookman Old Style"/>
          <w:color w:val="FF0000"/>
          <w:sz w:val="22"/>
          <w:szCs w:val="22"/>
        </w:rPr>
        <w:t xml:space="preserve"> </w:t>
      </w:r>
    </w:p>
    <w:p w14:paraId="5AA31514" w14:textId="77777777" w:rsidR="007075B5" w:rsidRPr="00487096" w:rsidRDefault="007075B5" w:rsidP="00E012A3">
      <w:pPr>
        <w:pStyle w:val="Paragrafoelenco"/>
        <w:numPr>
          <w:ilvl w:val="0"/>
          <w:numId w:val="25"/>
        </w:numPr>
        <w:tabs>
          <w:tab w:val="center" w:pos="1620"/>
          <w:tab w:val="center" w:pos="7920"/>
        </w:tabs>
        <w:spacing w:after="120"/>
        <w:contextualSpacing w:val="0"/>
        <w:jc w:val="both"/>
        <w:rPr>
          <w:rFonts w:ascii="Bookman Old Style" w:hAnsi="Bookman Old Style"/>
          <w:sz w:val="22"/>
          <w:szCs w:val="22"/>
        </w:rPr>
      </w:pPr>
      <w:r w:rsidRPr="00487096">
        <w:rPr>
          <w:rFonts w:ascii="Bookman Old Style" w:hAnsi="Bookman Old Style"/>
          <w:sz w:val="22"/>
          <w:szCs w:val="22"/>
        </w:rPr>
        <w:t xml:space="preserve">Presidente della Regione Siciliana </w:t>
      </w:r>
    </w:p>
    <w:p w14:paraId="3D6C7F20" w14:textId="77777777" w:rsidR="007075B5" w:rsidRPr="00487096" w:rsidRDefault="007075B5" w:rsidP="00E012A3">
      <w:pPr>
        <w:pStyle w:val="Paragrafoelenco"/>
        <w:numPr>
          <w:ilvl w:val="0"/>
          <w:numId w:val="25"/>
        </w:numPr>
        <w:tabs>
          <w:tab w:val="center" w:pos="1620"/>
          <w:tab w:val="center" w:pos="7920"/>
        </w:tabs>
        <w:spacing w:after="120"/>
        <w:contextualSpacing w:val="0"/>
        <w:jc w:val="both"/>
        <w:rPr>
          <w:rFonts w:ascii="Bookman Old Style" w:hAnsi="Bookman Old Style"/>
          <w:sz w:val="22"/>
          <w:szCs w:val="22"/>
        </w:rPr>
      </w:pPr>
      <w:r w:rsidRPr="00487096">
        <w:rPr>
          <w:rFonts w:ascii="Bookman Old Style" w:hAnsi="Bookman Old Style"/>
          <w:sz w:val="22"/>
          <w:szCs w:val="22"/>
        </w:rPr>
        <w:t xml:space="preserve">Assessore Regionale Economia </w:t>
      </w:r>
    </w:p>
    <w:p w14:paraId="0655C6D2" w14:textId="77777777" w:rsidR="007075B5" w:rsidRPr="00487096" w:rsidRDefault="007075B5" w:rsidP="00E012A3">
      <w:pPr>
        <w:pStyle w:val="Paragrafoelenco"/>
        <w:numPr>
          <w:ilvl w:val="0"/>
          <w:numId w:val="25"/>
        </w:numPr>
        <w:tabs>
          <w:tab w:val="center" w:pos="1620"/>
          <w:tab w:val="center" w:pos="7920"/>
        </w:tabs>
        <w:spacing w:after="120"/>
        <w:contextualSpacing w:val="0"/>
        <w:jc w:val="both"/>
        <w:rPr>
          <w:rFonts w:ascii="Bookman Old Style" w:hAnsi="Bookman Old Style"/>
          <w:sz w:val="22"/>
          <w:szCs w:val="22"/>
        </w:rPr>
      </w:pPr>
      <w:r w:rsidRPr="00487096">
        <w:rPr>
          <w:rFonts w:ascii="Bookman Old Style" w:hAnsi="Bookman Old Style"/>
          <w:sz w:val="22"/>
          <w:szCs w:val="22"/>
        </w:rPr>
        <w:t xml:space="preserve">Assessore Regionali Enti Locali </w:t>
      </w:r>
    </w:p>
    <w:p w14:paraId="23B911C0" w14:textId="77777777" w:rsidR="007075B5" w:rsidRPr="00487096" w:rsidRDefault="007075B5" w:rsidP="00E012A3">
      <w:pPr>
        <w:pStyle w:val="Paragrafoelenco"/>
        <w:numPr>
          <w:ilvl w:val="0"/>
          <w:numId w:val="25"/>
        </w:numPr>
        <w:tabs>
          <w:tab w:val="center" w:pos="1620"/>
          <w:tab w:val="center" w:pos="7920"/>
        </w:tabs>
        <w:spacing w:after="120"/>
        <w:contextualSpacing w:val="0"/>
        <w:jc w:val="both"/>
        <w:rPr>
          <w:rFonts w:ascii="Bookman Old Style" w:hAnsi="Bookman Old Style"/>
          <w:sz w:val="22"/>
          <w:szCs w:val="22"/>
        </w:rPr>
      </w:pPr>
      <w:r w:rsidRPr="00487096">
        <w:rPr>
          <w:rFonts w:ascii="Bookman Old Style" w:hAnsi="Bookman Old Style"/>
          <w:sz w:val="22"/>
          <w:szCs w:val="22"/>
        </w:rPr>
        <w:t xml:space="preserve">Presidente dell’Assemblea Regionale Siciliana </w:t>
      </w:r>
    </w:p>
    <w:p w14:paraId="0DEAB3B7" w14:textId="77777777" w:rsidR="007075B5" w:rsidRPr="00487096" w:rsidRDefault="007075B5" w:rsidP="00E012A3">
      <w:pPr>
        <w:pStyle w:val="Paragrafoelenco"/>
        <w:numPr>
          <w:ilvl w:val="0"/>
          <w:numId w:val="25"/>
        </w:numPr>
        <w:tabs>
          <w:tab w:val="center" w:pos="1620"/>
          <w:tab w:val="center" w:pos="7920"/>
        </w:tabs>
        <w:spacing w:after="120"/>
        <w:contextualSpacing w:val="0"/>
        <w:jc w:val="both"/>
        <w:rPr>
          <w:rFonts w:ascii="Bookman Old Style" w:hAnsi="Bookman Old Style"/>
          <w:sz w:val="22"/>
          <w:szCs w:val="22"/>
        </w:rPr>
      </w:pPr>
      <w:r w:rsidRPr="00487096">
        <w:rPr>
          <w:rFonts w:ascii="Bookman Old Style" w:hAnsi="Bookman Old Style"/>
          <w:sz w:val="22"/>
          <w:szCs w:val="22"/>
        </w:rPr>
        <w:t xml:space="preserve">Presidente del Consiglio Comunale </w:t>
      </w:r>
    </w:p>
    <w:p w14:paraId="7FFD3976" w14:textId="77777777" w:rsidR="007075B5" w:rsidRPr="00487096" w:rsidRDefault="007075B5" w:rsidP="00E012A3">
      <w:pPr>
        <w:pStyle w:val="Paragrafoelenco"/>
        <w:numPr>
          <w:ilvl w:val="0"/>
          <w:numId w:val="25"/>
        </w:numPr>
        <w:tabs>
          <w:tab w:val="center" w:pos="1620"/>
          <w:tab w:val="center" w:pos="7920"/>
        </w:tabs>
        <w:spacing w:after="120"/>
        <w:contextualSpacing w:val="0"/>
        <w:jc w:val="both"/>
        <w:rPr>
          <w:rFonts w:ascii="Bookman Old Style" w:hAnsi="Bookman Old Style"/>
          <w:sz w:val="22"/>
          <w:szCs w:val="22"/>
        </w:rPr>
      </w:pPr>
      <w:r w:rsidRPr="00487096">
        <w:rPr>
          <w:rFonts w:ascii="Bookman Old Style" w:hAnsi="Bookman Old Style"/>
          <w:sz w:val="22"/>
          <w:szCs w:val="22"/>
        </w:rPr>
        <w:t xml:space="preserve">Presidente del Collegio dei Revisori </w:t>
      </w:r>
    </w:p>
    <w:p w14:paraId="309256BC" w14:textId="77777777" w:rsidR="007075B5" w:rsidRPr="00487096" w:rsidRDefault="007075B5" w:rsidP="00E012A3">
      <w:pPr>
        <w:pStyle w:val="Paragrafoelenco"/>
        <w:numPr>
          <w:ilvl w:val="0"/>
          <w:numId w:val="25"/>
        </w:numPr>
        <w:tabs>
          <w:tab w:val="center" w:pos="1620"/>
          <w:tab w:val="center" w:pos="7920"/>
        </w:tabs>
        <w:spacing w:after="120"/>
        <w:contextualSpacing w:val="0"/>
        <w:jc w:val="both"/>
        <w:rPr>
          <w:rFonts w:ascii="Bookman Old Style" w:hAnsi="Bookman Old Style"/>
          <w:sz w:val="22"/>
          <w:szCs w:val="22"/>
        </w:rPr>
      </w:pPr>
      <w:r w:rsidRPr="00487096">
        <w:rPr>
          <w:rFonts w:ascii="Bookman Old Style" w:hAnsi="Bookman Old Style"/>
          <w:sz w:val="22"/>
          <w:szCs w:val="22"/>
        </w:rPr>
        <w:t>Alla Corte dei Conti – Sez. del Controllo per la Regione Siciliana</w:t>
      </w:r>
    </w:p>
    <w:p w14:paraId="79162F4D" w14:textId="77777777" w:rsidR="007075B5" w:rsidRPr="00170BC7" w:rsidRDefault="007075B5" w:rsidP="00170BC7">
      <w:pPr>
        <w:tabs>
          <w:tab w:val="center" w:pos="1620"/>
          <w:tab w:val="center" w:pos="7920"/>
        </w:tabs>
        <w:spacing w:after="120"/>
        <w:jc w:val="both"/>
        <w:rPr>
          <w:rFonts w:ascii="Bookman Old Style" w:hAnsi="Bookman Old Style"/>
          <w:sz w:val="22"/>
          <w:szCs w:val="22"/>
        </w:rPr>
      </w:pPr>
    </w:p>
    <w:p w14:paraId="54619D0E" w14:textId="751B5051" w:rsidR="00990E17" w:rsidRPr="00487096" w:rsidRDefault="00170BC7" w:rsidP="00990E17">
      <w:pPr>
        <w:pStyle w:val="Default"/>
        <w:spacing w:after="120"/>
        <w:jc w:val="both"/>
        <w:rPr>
          <w:rFonts w:ascii="Bookman Old Style" w:hAnsi="Bookman Old Style" w:cs="Calibri"/>
          <w:sz w:val="22"/>
          <w:szCs w:val="22"/>
        </w:rPr>
      </w:pPr>
      <w:r>
        <w:rPr>
          <w:rFonts w:ascii="Bookman Old Style" w:hAnsi="Bookman Old Style" w:cs="Calibri"/>
          <w:sz w:val="22"/>
          <w:szCs w:val="22"/>
        </w:rPr>
        <w:t>e</w:t>
      </w:r>
      <w:r w:rsidR="007075B5" w:rsidRPr="00487096">
        <w:rPr>
          <w:rFonts w:ascii="Bookman Old Style" w:hAnsi="Bookman Old Style" w:cs="Calibri"/>
          <w:sz w:val="22"/>
          <w:szCs w:val="22"/>
        </w:rPr>
        <w:t xml:space="preserve"> per conoscenza all’ANCI Sicilia</w:t>
      </w:r>
      <w:r>
        <w:rPr>
          <w:rFonts w:ascii="Bookman Old Style" w:hAnsi="Bookman Old Style" w:cs="Calibri"/>
          <w:sz w:val="22"/>
          <w:szCs w:val="22"/>
        </w:rPr>
        <w:t>.</w:t>
      </w:r>
    </w:p>
    <w:p w14:paraId="7CD6F3D8" w14:textId="3136682F" w:rsidR="00367E3B" w:rsidRPr="00487096" w:rsidRDefault="00367E3B" w:rsidP="00E012A3">
      <w:pPr>
        <w:spacing w:after="120"/>
        <w:jc w:val="both"/>
        <w:rPr>
          <w:rFonts w:ascii="Bookman Old Style" w:hAnsi="Bookman Old Style" w:cs="Calibri"/>
          <w:sz w:val="22"/>
          <w:szCs w:val="22"/>
        </w:rPr>
      </w:pPr>
    </w:p>
    <w:sectPr w:rsidR="00367E3B" w:rsidRPr="00487096" w:rsidSect="00111BF8">
      <w:footerReference w:type="even" r:id="rId7"/>
      <w:footerReference w:type="default" r:id="rId8"/>
      <w:pgSz w:w="11906" w:h="16838"/>
      <w:pgMar w:top="993" w:right="1071" w:bottom="899" w:left="1134" w:header="708" w:footer="8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FF0E6" w14:textId="77777777" w:rsidR="00D514D4" w:rsidRDefault="00D514D4">
      <w:r>
        <w:separator/>
      </w:r>
    </w:p>
  </w:endnote>
  <w:endnote w:type="continuationSeparator" w:id="0">
    <w:p w14:paraId="5DD3DB98" w14:textId="77777777" w:rsidR="00D514D4" w:rsidRDefault="00D5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ty BT">
    <w:altName w:val="Bookman Old Style"/>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7EFCE" w14:textId="77777777" w:rsidR="00D8207C" w:rsidRDefault="00D8207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9075BDE" w14:textId="77777777" w:rsidR="00D8207C" w:rsidRDefault="00D8207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0A77" w14:textId="77777777" w:rsidR="00D8207C" w:rsidRDefault="00D8207C">
    <w:pPr>
      <w:pStyle w:val="Pidipagina"/>
      <w:framePr w:wrap="around" w:vAnchor="text" w:hAnchor="margin" w:xAlign="center" w:y="1"/>
      <w:rPr>
        <w:rStyle w:val="Numeropagina"/>
        <w:sz w:val="20"/>
      </w:rPr>
    </w:pPr>
    <w:r>
      <w:rPr>
        <w:rStyle w:val="Numeropagina"/>
        <w:sz w:val="20"/>
      </w:rPr>
      <w:fldChar w:fldCharType="begin"/>
    </w:r>
    <w:r>
      <w:rPr>
        <w:rStyle w:val="Numeropagina"/>
        <w:sz w:val="20"/>
      </w:rPr>
      <w:instrText xml:space="preserve">PAGE  </w:instrText>
    </w:r>
    <w:r>
      <w:rPr>
        <w:rStyle w:val="Numeropagina"/>
        <w:sz w:val="20"/>
      </w:rPr>
      <w:fldChar w:fldCharType="separate"/>
    </w:r>
    <w:r w:rsidR="005915F8">
      <w:rPr>
        <w:rStyle w:val="Numeropagina"/>
        <w:noProof/>
        <w:sz w:val="20"/>
      </w:rPr>
      <w:t>2</w:t>
    </w:r>
    <w:r>
      <w:rPr>
        <w:rStyle w:val="Numeropagina"/>
        <w:sz w:val="20"/>
      </w:rPr>
      <w:fldChar w:fldCharType="end"/>
    </w:r>
  </w:p>
  <w:p w14:paraId="1BD93C9E" w14:textId="77777777" w:rsidR="00D8207C" w:rsidRDefault="00D820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C9C1D" w14:textId="77777777" w:rsidR="00D514D4" w:rsidRDefault="00D514D4">
      <w:r>
        <w:separator/>
      </w:r>
    </w:p>
  </w:footnote>
  <w:footnote w:type="continuationSeparator" w:id="0">
    <w:p w14:paraId="4C334651" w14:textId="77777777" w:rsidR="00D514D4" w:rsidRDefault="00D51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28E07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2576A3"/>
    <w:multiLevelType w:val="singleLevel"/>
    <w:tmpl w:val="14E4C6E2"/>
    <w:lvl w:ilvl="0">
      <w:start w:val="14"/>
      <w:numFmt w:val="bullet"/>
      <w:lvlText w:val="-"/>
      <w:lvlJc w:val="left"/>
      <w:pPr>
        <w:tabs>
          <w:tab w:val="num" w:pos="360"/>
        </w:tabs>
        <w:ind w:left="360" w:hanging="360"/>
      </w:pPr>
      <w:rPr>
        <w:rFonts w:hint="default"/>
      </w:rPr>
    </w:lvl>
  </w:abstractNum>
  <w:abstractNum w:abstractNumId="3" w15:restartNumberingAfterBreak="0">
    <w:nsid w:val="086674D3"/>
    <w:multiLevelType w:val="hybridMultilevel"/>
    <w:tmpl w:val="04663B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A83424"/>
    <w:multiLevelType w:val="hybridMultilevel"/>
    <w:tmpl w:val="0FFA5E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FB41D3"/>
    <w:multiLevelType w:val="hybridMultilevel"/>
    <w:tmpl w:val="F82A04FE"/>
    <w:lvl w:ilvl="0" w:tplc="152827E8">
      <w:start w:val="4"/>
      <w:numFmt w:val="decimal"/>
      <w:lvlText w:val="%1."/>
      <w:lvlJc w:val="left"/>
      <w:pPr>
        <w:tabs>
          <w:tab w:val="num" w:pos="360"/>
        </w:tabs>
        <w:ind w:left="357" w:hanging="357"/>
      </w:pPr>
      <w:rPr>
        <w:rFonts w:cs="Times New Roman" w:hint="default"/>
      </w:rPr>
    </w:lvl>
    <w:lvl w:ilvl="1" w:tplc="379484FA">
      <w:start w:val="1"/>
      <w:numFmt w:val="lowerLetter"/>
      <w:lvlText w:val="%2."/>
      <w:lvlJc w:val="left"/>
      <w:pPr>
        <w:tabs>
          <w:tab w:val="num" w:pos="1440"/>
        </w:tabs>
        <w:ind w:left="1440" w:hanging="360"/>
      </w:pPr>
      <w:rPr>
        <w:rFonts w:cs="Times New Roman"/>
      </w:rPr>
    </w:lvl>
    <w:lvl w:ilvl="2" w:tplc="03B0D250">
      <w:start w:val="1"/>
      <w:numFmt w:val="lowerRoman"/>
      <w:lvlText w:val="%3."/>
      <w:lvlJc w:val="right"/>
      <w:pPr>
        <w:tabs>
          <w:tab w:val="num" w:pos="2160"/>
        </w:tabs>
        <w:ind w:left="2160" w:hanging="180"/>
      </w:pPr>
      <w:rPr>
        <w:rFonts w:cs="Times New Roman"/>
      </w:rPr>
    </w:lvl>
    <w:lvl w:ilvl="3" w:tplc="BFA25E10">
      <w:start w:val="1"/>
      <w:numFmt w:val="decimal"/>
      <w:lvlText w:val="%4."/>
      <w:lvlJc w:val="left"/>
      <w:pPr>
        <w:tabs>
          <w:tab w:val="num" w:pos="2880"/>
        </w:tabs>
        <w:ind w:left="2880" w:hanging="360"/>
      </w:pPr>
      <w:rPr>
        <w:rFonts w:cs="Times New Roman"/>
      </w:rPr>
    </w:lvl>
    <w:lvl w:ilvl="4" w:tplc="0C881D28">
      <w:start w:val="1"/>
      <w:numFmt w:val="lowerLetter"/>
      <w:lvlText w:val="%5."/>
      <w:lvlJc w:val="left"/>
      <w:pPr>
        <w:tabs>
          <w:tab w:val="num" w:pos="3600"/>
        </w:tabs>
        <w:ind w:left="3600" w:hanging="360"/>
      </w:pPr>
      <w:rPr>
        <w:rFonts w:cs="Times New Roman"/>
      </w:rPr>
    </w:lvl>
    <w:lvl w:ilvl="5" w:tplc="DFBEFA30">
      <w:start w:val="1"/>
      <w:numFmt w:val="lowerRoman"/>
      <w:lvlText w:val="%6."/>
      <w:lvlJc w:val="right"/>
      <w:pPr>
        <w:tabs>
          <w:tab w:val="num" w:pos="4320"/>
        </w:tabs>
        <w:ind w:left="4320" w:hanging="180"/>
      </w:pPr>
      <w:rPr>
        <w:rFonts w:cs="Times New Roman"/>
      </w:rPr>
    </w:lvl>
    <w:lvl w:ilvl="6" w:tplc="C354F4C6">
      <w:start w:val="1"/>
      <w:numFmt w:val="decimal"/>
      <w:lvlText w:val="%7."/>
      <w:lvlJc w:val="left"/>
      <w:pPr>
        <w:tabs>
          <w:tab w:val="num" w:pos="5040"/>
        </w:tabs>
        <w:ind w:left="5040" w:hanging="360"/>
      </w:pPr>
      <w:rPr>
        <w:rFonts w:cs="Times New Roman"/>
      </w:rPr>
    </w:lvl>
    <w:lvl w:ilvl="7" w:tplc="F20C3C86">
      <w:start w:val="1"/>
      <w:numFmt w:val="lowerLetter"/>
      <w:lvlText w:val="%8."/>
      <w:lvlJc w:val="left"/>
      <w:pPr>
        <w:tabs>
          <w:tab w:val="num" w:pos="5760"/>
        </w:tabs>
        <w:ind w:left="5760" w:hanging="360"/>
      </w:pPr>
      <w:rPr>
        <w:rFonts w:cs="Times New Roman"/>
      </w:rPr>
    </w:lvl>
    <w:lvl w:ilvl="8" w:tplc="2FCC2BCA">
      <w:start w:val="1"/>
      <w:numFmt w:val="lowerRoman"/>
      <w:lvlText w:val="%9."/>
      <w:lvlJc w:val="right"/>
      <w:pPr>
        <w:tabs>
          <w:tab w:val="num" w:pos="6480"/>
        </w:tabs>
        <w:ind w:left="6480" w:hanging="180"/>
      </w:pPr>
      <w:rPr>
        <w:rFonts w:cs="Times New Roman"/>
      </w:rPr>
    </w:lvl>
  </w:abstractNum>
  <w:abstractNum w:abstractNumId="6" w15:restartNumberingAfterBreak="0">
    <w:nsid w:val="190E5308"/>
    <w:multiLevelType w:val="hybridMultilevel"/>
    <w:tmpl w:val="2BAA70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141C11"/>
    <w:multiLevelType w:val="hybridMultilevel"/>
    <w:tmpl w:val="9FC84A0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C47EBE"/>
    <w:multiLevelType w:val="hybridMultilevel"/>
    <w:tmpl w:val="2348EE70"/>
    <w:lvl w:ilvl="0" w:tplc="B9B84A10">
      <w:start w:val="1"/>
      <w:numFmt w:val="bullet"/>
      <w:lvlText w:val=""/>
      <w:lvlJc w:val="left"/>
      <w:pPr>
        <w:tabs>
          <w:tab w:val="num" w:pos="717"/>
        </w:tabs>
        <w:ind w:left="703" w:hanging="346"/>
      </w:pPr>
      <w:rPr>
        <w:rFonts w:ascii="Symbol" w:hAnsi="Symbol" w:hint="default"/>
      </w:rPr>
    </w:lvl>
    <w:lvl w:ilvl="1" w:tplc="B7CA3E7C">
      <w:start w:val="1"/>
      <w:numFmt w:val="bullet"/>
      <w:lvlText w:val="o"/>
      <w:lvlJc w:val="left"/>
      <w:pPr>
        <w:tabs>
          <w:tab w:val="num" w:pos="1440"/>
        </w:tabs>
        <w:ind w:left="1440" w:hanging="360"/>
      </w:pPr>
      <w:rPr>
        <w:rFonts w:ascii="Courier New" w:hAnsi="Courier New" w:hint="default"/>
      </w:rPr>
    </w:lvl>
    <w:lvl w:ilvl="2" w:tplc="7346B99C">
      <w:start w:val="1"/>
      <w:numFmt w:val="bullet"/>
      <w:lvlText w:val=""/>
      <w:lvlJc w:val="left"/>
      <w:pPr>
        <w:tabs>
          <w:tab w:val="num" w:pos="2160"/>
        </w:tabs>
        <w:ind w:left="2160" w:hanging="360"/>
      </w:pPr>
      <w:rPr>
        <w:rFonts w:ascii="Wingdings" w:hAnsi="Wingdings" w:hint="default"/>
      </w:rPr>
    </w:lvl>
    <w:lvl w:ilvl="3" w:tplc="38CEB7A6">
      <w:start w:val="1"/>
      <w:numFmt w:val="bullet"/>
      <w:lvlText w:val=""/>
      <w:lvlJc w:val="left"/>
      <w:pPr>
        <w:tabs>
          <w:tab w:val="num" w:pos="2880"/>
        </w:tabs>
        <w:ind w:left="2880" w:hanging="360"/>
      </w:pPr>
      <w:rPr>
        <w:rFonts w:ascii="Symbol" w:hAnsi="Symbol" w:hint="default"/>
      </w:rPr>
    </w:lvl>
    <w:lvl w:ilvl="4" w:tplc="E338776A">
      <w:start w:val="1"/>
      <w:numFmt w:val="bullet"/>
      <w:lvlText w:val="o"/>
      <w:lvlJc w:val="left"/>
      <w:pPr>
        <w:tabs>
          <w:tab w:val="num" w:pos="3600"/>
        </w:tabs>
        <w:ind w:left="3600" w:hanging="360"/>
      </w:pPr>
      <w:rPr>
        <w:rFonts w:ascii="Courier New" w:hAnsi="Courier New" w:hint="default"/>
      </w:rPr>
    </w:lvl>
    <w:lvl w:ilvl="5" w:tplc="7F6A837A">
      <w:start w:val="1"/>
      <w:numFmt w:val="bullet"/>
      <w:lvlText w:val=""/>
      <w:lvlJc w:val="left"/>
      <w:pPr>
        <w:tabs>
          <w:tab w:val="num" w:pos="4320"/>
        </w:tabs>
        <w:ind w:left="4320" w:hanging="360"/>
      </w:pPr>
      <w:rPr>
        <w:rFonts w:ascii="Wingdings" w:hAnsi="Wingdings" w:hint="default"/>
      </w:rPr>
    </w:lvl>
    <w:lvl w:ilvl="6" w:tplc="55E483A4">
      <w:start w:val="1"/>
      <w:numFmt w:val="bullet"/>
      <w:lvlText w:val=""/>
      <w:lvlJc w:val="left"/>
      <w:pPr>
        <w:tabs>
          <w:tab w:val="num" w:pos="5040"/>
        </w:tabs>
        <w:ind w:left="5040" w:hanging="360"/>
      </w:pPr>
      <w:rPr>
        <w:rFonts w:ascii="Symbol" w:hAnsi="Symbol" w:hint="default"/>
      </w:rPr>
    </w:lvl>
    <w:lvl w:ilvl="7" w:tplc="D18A4C28">
      <w:start w:val="1"/>
      <w:numFmt w:val="bullet"/>
      <w:lvlText w:val="o"/>
      <w:lvlJc w:val="left"/>
      <w:pPr>
        <w:tabs>
          <w:tab w:val="num" w:pos="5760"/>
        </w:tabs>
        <w:ind w:left="5760" w:hanging="360"/>
      </w:pPr>
      <w:rPr>
        <w:rFonts w:ascii="Courier New" w:hAnsi="Courier New" w:hint="default"/>
      </w:rPr>
    </w:lvl>
    <w:lvl w:ilvl="8" w:tplc="268058A4">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1618B7"/>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0" w15:restartNumberingAfterBreak="0">
    <w:nsid w:val="2A3978F0"/>
    <w:multiLevelType w:val="hybridMultilevel"/>
    <w:tmpl w:val="4E5208C8"/>
    <w:lvl w:ilvl="0" w:tplc="D6A070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C6E451D"/>
    <w:multiLevelType w:val="hybridMultilevel"/>
    <w:tmpl w:val="000886A4"/>
    <w:lvl w:ilvl="0" w:tplc="175EB342">
      <w:start w:val="6"/>
      <w:numFmt w:val="bullet"/>
      <w:lvlText w:val=""/>
      <w:lvlJc w:val="left"/>
      <w:pPr>
        <w:tabs>
          <w:tab w:val="num" w:pos="7420"/>
        </w:tabs>
        <w:ind w:left="7420" w:hanging="360"/>
      </w:pPr>
      <w:rPr>
        <w:rFonts w:ascii="Webdings" w:eastAsia="Times New Roman" w:hAnsi="Webdings" w:hint="default"/>
        <w:b w:val="0"/>
        <w:sz w:val="24"/>
      </w:rPr>
    </w:lvl>
    <w:lvl w:ilvl="1" w:tplc="8E7A77EC" w:tentative="1">
      <w:start w:val="1"/>
      <w:numFmt w:val="bullet"/>
      <w:lvlText w:val="o"/>
      <w:lvlJc w:val="left"/>
      <w:pPr>
        <w:tabs>
          <w:tab w:val="num" w:pos="8140"/>
        </w:tabs>
        <w:ind w:left="8140" w:hanging="360"/>
      </w:pPr>
      <w:rPr>
        <w:rFonts w:ascii="Courier New" w:hAnsi="Courier New" w:hint="default"/>
      </w:rPr>
    </w:lvl>
    <w:lvl w:ilvl="2" w:tplc="12E4158C" w:tentative="1">
      <w:start w:val="1"/>
      <w:numFmt w:val="bullet"/>
      <w:lvlText w:val=""/>
      <w:lvlJc w:val="left"/>
      <w:pPr>
        <w:tabs>
          <w:tab w:val="num" w:pos="8860"/>
        </w:tabs>
        <w:ind w:left="8860" w:hanging="360"/>
      </w:pPr>
      <w:rPr>
        <w:rFonts w:ascii="Wingdings" w:hAnsi="Wingdings" w:hint="default"/>
      </w:rPr>
    </w:lvl>
    <w:lvl w:ilvl="3" w:tplc="15C698BC" w:tentative="1">
      <w:start w:val="1"/>
      <w:numFmt w:val="bullet"/>
      <w:lvlText w:val=""/>
      <w:lvlJc w:val="left"/>
      <w:pPr>
        <w:tabs>
          <w:tab w:val="num" w:pos="9580"/>
        </w:tabs>
        <w:ind w:left="9580" w:hanging="360"/>
      </w:pPr>
      <w:rPr>
        <w:rFonts w:ascii="Symbol" w:hAnsi="Symbol" w:hint="default"/>
      </w:rPr>
    </w:lvl>
    <w:lvl w:ilvl="4" w:tplc="C9369F06" w:tentative="1">
      <w:start w:val="1"/>
      <w:numFmt w:val="bullet"/>
      <w:lvlText w:val="o"/>
      <w:lvlJc w:val="left"/>
      <w:pPr>
        <w:tabs>
          <w:tab w:val="num" w:pos="10300"/>
        </w:tabs>
        <w:ind w:left="10300" w:hanging="360"/>
      </w:pPr>
      <w:rPr>
        <w:rFonts w:ascii="Courier New" w:hAnsi="Courier New" w:hint="default"/>
      </w:rPr>
    </w:lvl>
    <w:lvl w:ilvl="5" w:tplc="5A96B296" w:tentative="1">
      <w:start w:val="1"/>
      <w:numFmt w:val="bullet"/>
      <w:lvlText w:val=""/>
      <w:lvlJc w:val="left"/>
      <w:pPr>
        <w:tabs>
          <w:tab w:val="num" w:pos="11020"/>
        </w:tabs>
        <w:ind w:left="11020" w:hanging="360"/>
      </w:pPr>
      <w:rPr>
        <w:rFonts w:ascii="Wingdings" w:hAnsi="Wingdings" w:hint="default"/>
      </w:rPr>
    </w:lvl>
    <w:lvl w:ilvl="6" w:tplc="AB78A358" w:tentative="1">
      <w:start w:val="1"/>
      <w:numFmt w:val="bullet"/>
      <w:lvlText w:val=""/>
      <w:lvlJc w:val="left"/>
      <w:pPr>
        <w:tabs>
          <w:tab w:val="num" w:pos="11740"/>
        </w:tabs>
        <w:ind w:left="11740" w:hanging="360"/>
      </w:pPr>
      <w:rPr>
        <w:rFonts w:ascii="Symbol" w:hAnsi="Symbol" w:hint="default"/>
      </w:rPr>
    </w:lvl>
    <w:lvl w:ilvl="7" w:tplc="19BCC46A" w:tentative="1">
      <w:start w:val="1"/>
      <w:numFmt w:val="bullet"/>
      <w:lvlText w:val="o"/>
      <w:lvlJc w:val="left"/>
      <w:pPr>
        <w:tabs>
          <w:tab w:val="num" w:pos="12460"/>
        </w:tabs>
        <w:ind w:left="12460" w:hanging="360"/>
      </w:pPr>
      <w:rPr>
        <w:rFonts w:ascii="Courier New" w:hAnsi="Courier New" w:hint="default"/>
      </w:rPr>
    </w:lvl>
    <w:lvl w:ilvl="8" w:tplc="B03091EA" w:tentative="1">
      <w:start w:val="1"/>
      <w:numFmt w:val="bullet"/>
      <w:lvlText w:val=""/>
      <w:lvlJc w:val="left"/>
      <w:pPr>
        <w:tabs>
          <w:tab w:val="num" w:pos="13180"/>
        </w:tabs>
        <w:ind w:left="13180" w:hanging="360"/>
      </w:pPr>
      <w:rPr>
        <w:rFonts w:ascii="Wingdings" w:hAnsi="Wingdings" w:hint="default"/>
      </w:rPr>
    </w:lvl>
  </w:abstractNum>
  <w:abstractNum w:abstractNumId="12" w15:restartNumberingAfterBreak="0">
    <w:nsid w:val="302F39BE"/>
    <w:multiLevelType w:val="hybridMultilevel"/>
    <w:tmpl w:val="FFC4A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0A44B9C"/>
    <w:multiLevelType w:val="hybridMultilevel"/>
    <w:tmpl w:val="BE6A75B4"/>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3279048D"/>
    <w:multiLevelType w:val="hybridMultilevel"/>
    <w:tmpl w:val="170697E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38419B5"/>
    <w:multiLevelType w:val="hybridMultilevel"/>
    <w:tmpl w:val="F51A8474"/>
    <w:lvl w:ilvl="0" w:tplc="88D01E68">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34667116"/>
    <w:multiLevelType w:val="hybridMultilevel"/>
    <w:tmpl w:val="FCD07E5C"/>
    <w:lvl w:ilvl="0" w:tplc="1396E94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B806717"/>
    <w:multiLevelType w:val="singleLevel"/>
    <w:tmpl w:val="0410000F"/>
    <w:lvl w:ilvl="0">
      <w:start w:val="1"/>
      <w:numFmt w:val="decimal"/>
      <w:lvlText w:val="%1."/>
      <w:lvlJc w:val="left"/>
      <w:pPr>
        <w:tabs>
          <w:tab w:val="num" w:pos="360"/>
        </w:tabs>
        <w:ind w:left="360" w:hanging="360"/>
      </w:pPr>
      <w:rPr>
        <w:rFonts w:hint="default"/>
      </w:rPr>
    </w:lvl>
  </w:abstractNum>
  <w:abstractNum w:abstractNumId="18" w15:restartNumberingAfterBreak="0">
    <w:nsid w:val="4D4F0EC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62354F"/>
    <w:multiLevelType w:val="hybridMultilevel"/>
    <w:tmpl w:val="641CF928"/>
    <w:lvl w:ilvl="0" w:tplc="47560CF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3DF0252"/>
    <w:multiLevelType w:val="hybridMultilevel"/>
    <w:tmpl w:val="53381A50"/>
    <w:lvl w:ilvl="0" w:tplc="E624B408">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40285F"/>
    <w:multiLevelType w:val="hybridMultilevel"/>
    <w:tmpl w:val="32240648"/>
    <w:lvl w:ilvl="0" w:tplc="E624B408">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AC7E27"/>
    <w:multiLevelType w:val="hybridMultilevel"/>
    <w:tmpl w:val="E89E8E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A7404DC"/>
    <w:multiLevelType w:val="hybridMultilevel"/>
    <w:tmpl w:val="0DD4ED32"/>
    <w:lvl w:ilvl="0" w:tplc="38B62C4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DD51B67"/>
    <w:multiLevelType w:val="multilevel"/>
    <w:tmpl w:val="5D2E236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24"/>
  </w:num>
  <w:num w:numId="2">
    <w:abstractNumId w:val="1"/>
    <w:lvlOverride w:ilvl="0">
      <w:lvl w:ilvl="0">
        <w:start w:val="4"/>
        <w:numFmt w:val="bullet"/>
        <w:lvlText w:val="-"/>
        <w:legacy w:legacy="1" w:legacySpace="0" w:legacyIndent="360"/>
        <w:lvlJc w:val="left"/>
        <w:pPr>
          <w:ind w:left="360" w:hanging="360"/>
        </w:pPr>
      </w:lvl>
    </w:lvlOverride>
  </w:num>
  <w:num w:numId="3">
    <w:abstractNumId w:val="18"/>
  </w:num>
  <w:num w:numId="4">
    <w:abstractNumId w:val="17"/>
  </w:num>
  <w:num w:numId="5">
    <w:abstractNumId w:val="2"/>
  </w:num>
  <w:num w:numId="6">
    <w:abstractNumId w:val="1"/>
    <w:lvlOverride w:ilvl="0">
      <w:lvl w:ilvl="0">
        <w:start w:val="4"/>
        <w:numFmt w:val="bullet"/>
        <w:lvlText w:val="-"/>
        <w:legacy w:legacy="1" w:legacySpace="0" w:legacyIndent="360"/>
        <w:lvlJc w:val="left"/>
        <w:pPr>
          <w:ind w:left="360" w:hanging="360"/>
        </w:pPr>
      </w:lvl>
    </w:lvlOverride>
  </w:num>
  <w:num w:numId="7">
    <w:abstractNumId w:val="11"/>
  </w:num>
  <w:num w:numId="8">
    <w:abstractNumId w:val="9"/>
  </w:num>
  <w:num w:numId="9">
    <w:abstractNumId w:val="8"/>
  </w:num>
  <w:num w:numId="10">
    <w:abstractNumId w:val="5"/>
  </w:num>
  <w:num w:numId="11">
    <w:abstractNumId w:val="0"/>
  </w:num>
  <w:num w:numId="12">
    <w:abstractNumId w:val="3"/>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4"/>
  </w:num>
  <w:num w:numId="16">
    <w:abstractNumId w:val="12"/>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0"/>
  </w:num>
  <w:num w:numId="20">
    <w:abstractNumId w:val="15"/>
  </w:num>
  <w:num w:numId="21">
    <w:abstractNumId w:val="19"/>
  </w:num>
  <w:num w:numId="22">
    <w:abstractNumId w:val="10"/>
  </w:num>
  <w:num w:numId="23">
    <w:abstractNumId w:val="22"/>
  </w:num>
  <w:num w:numId="24">
    <w:abstractNumId w:val="6"/>
  </w:num>
  <w:num w:numId="25">
    <w:abstractNumId w:val="16"/>
  </w:num>
  <w:num w:numId="26">
    <w:abstractNumId w:val="7"/>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ttachedTemplate r:id="rId1"/>
  <w:defaultTabStop w:val="708"/>
  <w:hyphenationZone w:val="283"/>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BB"/>
    <w:rsid w:val="00003E93"/>
    <w:rsid w:val="000166BA"/>
    <w:rsid w:val="000257AE"/>
    <w:rsid w:val="00026184"/>
    <w:rsid w:val="00026C45"/>
    <w:rsid w:val="00030941"/>
    <w:rsid w:val="00032D77"/>
    <w:rsid w:val="000334FB"/>
    <w:rsid w:val="00035D12"/>
    <w:rsid w:val="00043F4D"/>
    <w:rsid w:val="00052BB0"/>
    <w:rsid w:val="00060777"/>
    <w:rsid w:val="000736C7"/>
    <w:rsid w:val="00076BF3"/>
    <w:rsid w:val="00081269"/>
    <w:rsid w:val="00081292"/>
    <w:rsid w:val="00087611"/>
    <w:rsid w:val="00087CA8"/>
    <w:rsid w:val="0009162B"/>
    <w:rsid w:val="000B0971"/>
    <w:rsid w:val="000C647D"/>
    <w:rsid w:val="000C6E9B"/>
    <w:rsid w:val="000E03F1"/>
    <w:rsid w:val="000E118C"/>
    <w:rsid w:val="000E6443"/>
    <w:rsid w:val="000F132A"/>
    <w:rsid w:val="000F5BB4"/>
    <w:rsid w:val="001078A2"/>
    <w:rsid w:val="00111BF8"/>
    <w:rsid w:val="00122CCC"/>
    <w:rsid w:val="00126D87"/>
    <w:rsid w:val="001334FC"/>
    <w:rsid w:val="0013465E"/>
    <w:rsid w:val="00154753"/>
    <w:rsid w:val="00170BC7"/>
    <w:rsid w:val="00184817"/>
    <w:rsid w:val="00190CA0"/>
    <w:rsid w:val="00196BBE"/>
    <w:rsid w:val="001A1A05"/>
    <w:rsid w:val="001A3BC9"/>
    <w:rsid w:val="001B2EC1"/>
    <w:rsid w:val="001C4AEE"/>
    <w:rsid w:val="001C6805"/>
    <w:rsid w:val="001D65CA"/>
    <w:rsid w:val="001E64BF"/>
    <w:rsid w:val="001F6AD5"/>
    <w:rsid w:val="00205B9F"/>
    <w:rsid w:val="00232D2F"/>
    <w:rsid w:val="0023323B"/>
    <w:rsid w:val="00234ED9"/>
    <w:rsid w:val="00244461"/>
    <w:rsid w:val="00250C92"/>
    <w:rsid w:val="00260269"/>
    <w:rsid w:val="00263F22"/>
    <w:rsid w:val="00283964"/>
    <w:rsid w:val="00283FF3"/>
    <w:rsid w:val="00285E3F"/>
    <w:rsid w:val="00296FB3"/>
    <w:rsid w:val="002A3F41"/>
    <w:rsid w:val="002B7406"/>
    <w:rsid w:val="002C621D"/>
    <w:rsid w:val="002E2944"/>
    <w:rsid w:val="002F111F"/>
    <w:rsid w:val="002F586A"/>
    <w:rsid w:val="002F5910"/>
    <w:rsid w:val="00313A5A"/>
    <w:rsid w:val="0032352A"/>
    <w:rsid w:val="00326B7F"/>
    <w:rsid w:val="003270E6"/>
    <w:rsid w:val="0032756A"/>
    <w:rsid w:val="00335B3F"/>
    <w:rsid w:val="00336D5D"/>
    <w:rsid w:val="00337497"/>
    <w:rsid w:val="003479A5"/>
    <w:rsid w:val="003504E9"/>
    <w:rsid w:val="0036650D"/>
    <w:rsid w:val="00367E3B"/>
    <w:rsid w:val="0038348F"/>
    <w:rsid w:val="00383A22"/>
    <w:rsid w:val="00391C05"/>
    <w:rsid w:val="0039689E"/>
    <w:rsid w:val="003B65AE"/>
    <w:rsid w:val="003C2B7A"/>
    <w:rsid w:val="003D033C"/>
    <w:rsid w:val="003D1DB5"/>
    <w:rsid w:val="003D45BB"/>
    <w:rsid w:val="003D54E6"/>
    <w:rsid w:val="00410F51"/>
    <w:rsid w:val="00427D6F"/>
    <w:rsid w:val="00431DE3"/>
    <w:rsid w:val="00435522"/>
    <w:rsid w:val="00441C3A"/>
    <w:rsid w:val="00460131"/>
    <w:rsid w:val="00463C56"/>
    <w:rsid w:val="0047376D"/>
    <w:rsid w:val="00486AD4"/>
    <w:rsid w:val="00487096"/>
    <w:rsid w:val="004B2F3F"/>
    <w:rsid w:val="004B6F20"/>
    <w:rsid w:val="004C5D48"/>
    <w:rsid w:val="004D0916"/>
    <w:rsid w:val="004D6157"/>
    <w:rsid w:val="004E0B57"/>
    <w:rsid w:val="004E5D0B"/>
    <w:rsid w:val="004E5D3D"/>
    <w:rsid w:val="004F2366"/>
    <w:rsid w:val="0050092E"/>
    <w:rsid w:val="00501F81"/>
    <w:rsid w:val="00512F1E"/>
    <w:rsid w:val="00517F7B"/>
    <w:rsid w:val="005218E4"/>
    <w:rsid w:val="00533F9B"/>
    <w:rsid w:val="00534A33"/>
    <w:rsid w:val="00534AF7"/>
    <w:rsid w:val="00537F7E"/>
    <w:rsid w:val="00542C82"/>
    <w:rsid w:val="00545D9A"/>
    <w:rsid w:val="0055269D"/>
    <w:rsid w:val="005529D6"/>
    <w:rsid w:val="00554704"/>
    <w:rsid w:val="0055764E"/>
    <w:rsid w:val="005722FC"/>
    <w:rsid w:val="00577435"/>
    <w:rsid w:val="005915F8"/>
    <w:rsid w:val="00597444"/>
    <w:rsid w:val="005C1585"/>
    <w:rsid w:val="005D1FF4"/>
    <w:rsid w:val="005E326F"/>
    <w:rsid w:val="0060082A"/>
    <w:rsid w:val="00612A2D"/>
    <w:rsid w:val="00612DF4"/>
    <w:rsid w:val="00623946"/>
    <w:rsid w:val="00640BB2"/>
    <w:rsid w:val="006428AE"/>
    <w:rsid w:val="006474BB"/>
    <w:rsid w:val="00654E5D"/>
    <w:rsid w:val="00655696"/>
    <w:rsid w:val="00656BB4"/>
    <w:rsid w:val="00661AA4"/>
    <w:rsid w:val="00681629"/>
    <w:rsid w:val="00684407"/>
    <w:rsid w:val="006874CF"/>
    <w:rsid w:val="0069200D"/>
    <w:rsid w:val="0069233F"/>
    <w:rsid w:val="006B244B"/>
    <w:rsid w:val="006E20EC"/>
    <w:rsid w:val="006F58A8"/>
    <w:rsid w:val="006F77D3"/>
    <w:rsid w:val="007067E0"/>
    <w:rsid w:val="007075B5"/>
    <w:rsid w:val="00711624"/>
    <w:rsid w:val="00715636"/>
    <w:rsid w:val="00715CA3"/>
    <w:rsid w:val="007262CA"/>
    <w:rsid w:val="007375D6"/>
    <w:rsid w:val="00744343"/>
    <w:rsid w:val="007454D6"/>
    <w:rsid w:val="00745944"/>
    <w:rsid w:val="00751D6A"/>
    <w:rsid w:val="00757EDE"/>
    <w:rsid w:val="00776350"/>
    <w:rsid w:val="00777325"/>
    <w:rsid w:val="00777390"/>
    <w:rsid w:val="00782440"/>
    <w:rsid w:val="00793843"/>
    <w:rsid w:val="007A5D2B"/>
    <w:rsid w:val="007B7ABA"/>
    <w:rsid w:val="007C0664"/>
    <w:rsid w:val="007C0AAD"/>
    <w:rsid w:val="007C1877"/>
    <w:rsid w:val="007D5249"/>
    <w:rsid w:val="007E528E"/>
    <w:rsid w:val="007F2314"/>
    <w:rsid w:val="00802575"/>
    <w:rsid w:val="008036CD"/>
    <w:rsid w:val="00804033"/>
    <w:rsid w:val="00804794"/>
    <w:rsid w:val="00814FB5"/>
    <w:rsid w:val="008226E1"/>
    <w:rsid w:val="00825BEC"/>
    <w:rsid w:val="008400C0"/>
    <w:rsid w:val="00840433"/>
    <w:rsid w:val="00842FDA"/>
    <w:rsid w:val="008477CE"/>
    <w:rsid w:val="00852ECD"/>
    <w:rsid w:val="008612B1"/>
    <w:rsid w:val="00863E6F"/>
    <w:rsid w:val="0087748C"/>
    <w:rsid w:val="008839AA"/>
    <w:rsid w:val="008865B6"/>
    <w:rsid w:val="00894907"/>
    <w:rsid w:val="0089738C"/>
    <w:rsid w:val="008B46FE"/>
    <w:rsid w:val="008C040F"/>
    <w:rsid w:val="008C1EC7"/>
    <w:rsid w:val="008C2E5A"/>
    <w:rsid w:val="008C44C6"/>
    <w:rsid w:val="008C7FF1"/>
    <w:rsid w:val="008D1733"/>
    <w:rsid w:val="008E031E"/>
    <w:rsid w:val="008E3819"/>
    <w:rsid w:val="008F0470"/>
    <w:rsid w:val="008F214F"/>
    <w:rsid w:val="008F299C"/>
    <w:rsid w:val="00903922"/>
    <w:rsid w:val="00906338"/>
    <w:rsid w:val="00912DA1"/>
    <w:rsid w:val="009272F3"/>
    <w:rsid w:val="0093014A"/>
    <w:rsid w:val="00941E98"/>
    <w:rsid w:val="00947B21"/>
    <w:rsid w:val="0095347E"/>
    <w:rsid w:val="00953CF4"/>
    <w:rsid w:val="009553A5"/>
    <w:rsid w:val="00957C8F"/>
    <w:rsid w:val="00960FB6"/>
    <w:rsid w:val="0096211B"/>
    <w:rsid w:val="00967ACA"/>
    <w:rsid w:val="00980414"/>
    <w:rsid w:val="00990E17"/>
    <w:rsid w:val="009921A5"/>
    <w:rsid w:val="009A279D"/>
    <w:rsid w:val="009A3485"/>
    <w:rsid w:val="009A4AC2"/>
    <w:rsid w:val="009A4CE1"/>
    <w:rsid w:val="009B56BE"/>
    <w:rsid w:val="009C72BB"/>
    <w:rsid w:val="009D4B3D"/>
    <w:rsid w:val="009E484F"/>
    <w:rsid w:val="009F3314"/>
    <w:rsid w:val="00A02E5E"/>
    <w:rsid w:val="00A06BCE"/>
    <w:rsid w:val="00A41FF2"/>
    <w:rsid w:val="00A6221A"/>
    <w:rsid w:val="00A648F5"/>
    <w:rsid w:val="00A700CA"/>
    <w:rsid w:val="00A714C8"/>
    <w:rsid w:val="00A7260B"/>
    <w:rsid w:val="00A82BEE"/>
    <w:rsid w:val="00A84EA4"/>
    <w:rsid w:val="00A90530"/>
    <w:rsid w:val="00AA3FA6"/>
    <w:rsid w:val="00AA4960"/>
    <w:rsid w:val="00AB72C0"/>
    <w:rsid w:val="00AE1680"/>
    <w:rsid w:val="00AE2A33"/>
    <w:rsid w:val="00AF7837"/>
    <w:rsid w:val="00B05569"/>
    <w:rsid w:val="00B06220"/>
    <w:rsid w:val="00B06921"/>
    <w:rsid w:val="00B14C71"/>
    <w:rsid w:val="00B15E31"/>
    <w:rsid w:val="00B20000"/>
    <w:rsid w:val="00B233E4"/>
    <w:rsid w:val="00B23CE6"/>
    <w:rsid w:val="00B24BD3"/>
    <w:rsid w:val="00B3045C"/>
    <w:rsid w:val="00B47725"/>
    <w:rsid w:val="00B6163E"/>
    <w:rsid w:val="00B958C9"/>
    <w:rsid w:val="00BA3325"/>
    <w:rsid w:val="00BB2279"/>
    <w:rsid w:val="00BB2DF9"/>
    <w:rsid w:val="00BB43CF"/>
    <w:rsid w:val="00BB7FB5"/>
    <w:rsid w:val="00BC14F6"/>
    <w:rsid w:val="00BC45A0"/>
    <w:rsid w:val="00BD35EF"/>
    <w:rsid w:val="00BE781A"/>
    <w:rsid w:val="00BF221A"/>
    <w:rsid w:val="00BF5D17"/>
    <w:rsid w:val="00BF60A5"/>
    <w:rsid w:val="00C13B4D"/>
    <w:rsid w:val="00C14A5E"/>
    <w:rsid w:val="00C16CBD"/>
    <w:rsid w:val="00C21DA0"/>
    <w:rsid w:val="00C34885"/>
    <w:rsid w:val="00C442BA"/>
    <w:rsid w:val="00C47126"/>
    <w:rsid w:val="00C546D4"/>
    <w:rsid w:val="00C57640"/>
    <w:rsid w:val="00C739C7"/>
    <w:rsid w:val="00C748DC"/>
    <w:rsid w:val="00C8380D"/>
    <w:rsid w:val="00C87B1E"/>
    <w:rsid w:val="00C87C13"/>
    <w:rsid w:val="00C91E84"/>
    <w:rsid w:val="00C97105"/>
    <w:rsid w:val="00CA701D"/>
    <w:rsid w:val="00CC4F47"/>
    <w:rsid w:val="00CD0D63"/>
    <w:rsid w:val="00CF0C89"/>
    <w:rsid w:val="00D06012"/>
    <w:rsid w:val="00D13FE0"/>
    <w:rsid w:val="00D21EC1"/>
    <w:rsid w:val="00D23879"/>
    <w:rsid w:val="00D31CA9"/>
    <w:rsid w:val="00D3288D"/>
    <w:rsid w:val="00D344CF"/>
    <w:rsid w:val="00D35A04"/>
    <w:rsid w:val="00D514D4"/>
    <w:rsid w:val="00D53092"/>
    <w:rsid w:val="00D5561E"/>
    <w:rsid w:val="00D719F4"/>
    <w:rsid w:val="00D762B0"/>
    <w:rsid w:val="00D80748"/>
    <w:rsid w:val="00D8207C"/>
    <w:rsid w:val="00D836FE"/>
    <w:rsid w:val="00D83CD6"/>
    <w:rsid w:val="00D934BD"/>
    <w:rsid w:val="00DA1B34"/>
    <w:rsid w:val="00DA6F40"/>
    <w:rsid w:val="00DD1B55"/>
    <w:rsid w:val="00DD2194"/>
    <w:rsid w:val="00DD62DE"/>
    <w:rsid w:val="00DE3DA4"/>
    <w:rsid w:val="00DF1778"/>
    <w:rsid w:val="00DF2A21"/>
    <w:rsid w:val="00DF7E22"/>
    <w:rsid w:val="00E012A3"/>
    <w:rsid w:val="00E124AA"/>
    <w:rsid w:val="00E16A80"/>
    <w:rsid w:val="00E22AE1"/>
    <w:rsid w:val="00E27A3B"/>
    <w:rsid w:val="00E508B9"/>
    <w:rsid w:val="00E61DE8"/>
    <w:rsid w:val="00E73D7C"/>
    <w:rsid w:val="00E77070"/>
    <w:rsid w:val="00E93337"/>
    <w:rsid w:val="00E93E7C"/>
    <w:rsid w:val="00E9565D"/>
    <w:rsid w:val="00EA3C68"/>
    <w:rsid w:val="00EB4786"/>
    <w:rsid w:val="00EC1627"/>
    <w:rsid w:val="00EC22C0"/>
    <w:rsid w:val="00EC4977"/>
    <w:rsid w:val="00ED4629"/>
    <w:rsid w:val="00ED6191"/>
    <w:rsid w:val="00ED76E8"/>
    <w:rsid w:val="00EF4E55"/>
    <w:rsid w:val="00EF616D"/>
    <w:rsid w:val="00F022BB"/>
    <w:rsid w:val="00F040ED"/>
    <w:rsid w:val="00F168BD"/>
    <w:rsid w:val="00F20FB3"/>
    <w:rsid w:val="00F24B6D"/>
    <w:rsid w:val="00F32A68"/>
    <w:rsid w:val="00F32CE6"/>
    <w:rsid w:val="00F3629F"/>
    <w:rsid w:val="00F37E68"/>
    <w:rsid w:val="00F42E9C"/>
    <w:rsid w:val="00F53C96"/>
    <w:rsid w:val="00F55CC4"/>
    <w:rsid w:val="00F65BCF"/>
    <w:rsid w:val="00F65F08"/>
    <w:rsid w:val="00F93B63"/>
    <w:rsid w:val="00F94373"/>
    <w:rsid w:val="00F96979"/>
    <w:rsid w:val="00FB0F0B"/>
    <w:rsid w:val="00FB6407"/>
    <w:rsid w:val="00FC18F4"/>
    <w:rsid w:val="00FC588A"/>
    <w:rsid w:val="00FD07AB"/>
    <w:rsid w:val="00FD2D15"/>
    <w:rsid w:val="00FF3235"/>
    <w:rsid w:val="00FF4242"/>
    <w:rsid w:val="00FF487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10F9E1"/>
  <w14:defaultImageDpi w14:val="300"/>
  <w15:docId w15:val="{629B5269-A732-497D-B69A-1323C8F4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before="240" w:after="60"/>
      <w:outlineLvl w:val="0"/>
    </w:pPr>
    <w:rPr>
      <w:rFonts w:ascii="Arial" w:hAnsi="Arial" w:cs="Arial"/>
      <w:b/>
      <w:bCs/>
      <w:kern w:val="32"/>
      <w:sz w:val="32"/>
      <w:szCs w:val="32"/>
    </w:rPr>
  </w:style>
  <w:style w:type="paragraph" w:styleId="Titolo2">
    <w:name w:val="heading 2"/>
    <w:basedOn w:val="Normale"/>
    <w:next w:val="Normale"/>
    <w:qFormat/>
    <w:pPr>
      <w:keepNext/>
      <w:jc w:val="center"/>
      <w:outlineLvl w:val="1"/>
    </w:pPr>
    <w:rPr>
      <w:b/>
      <w:sz w:val="20"/>
      <w:szCs w:val="20"/>
    </w:rPr>
  </w:style>
  <w:style w:type="paragraph" w:styleId="Titolo3">
    <w:name w:val="heading 3"/>
    <w:basedOn w:val="Normale"/>
    <w:next w:val="Normale"/>
    <w:qFormat/>
    <w:pPr>
      <w:keepNext/>
      <w:spacing w:line="360" w:lineRule="auto"/>
      <w:jc w:val="center"/>
      <w:outlineLvl w:val="2"/>
    </w:pPr>
    <w:rPr>
      <w:rFonts w:ascii="Arial" w:hAnsi="Arial"/>
      <w:b/>
      <w:spacing w:val="-12"/>
      <w:sz w:val="10"/>
    </w:rPr>
  </w:style>
  <w:style w:type="paragraph" w:styleId="Titolo4">
    <w:name w:val="heading 4"/>
    <w:basedOn w:val="Normale"/>
    <w:next w:val="Normale"/>
    <w:qFormat/>
    <w:pPr>
      <w:keepNext/>
      <w:jc w:val="center"/>
      <w:outlineLvl w:val="3"/>
    </w:pPr>
    <w:rPr>
      <w:rFonts w:ascii="Arial" w:hAnsi="Arial"/>
      <w:b/>
    </w:rPr>
  </w:style>
  <w:style w:type="paragraph" w:styleId="Titolo5">
    <w:name w:val="heading 5"/>
    <w:basedOn w:val="Normale"/>
    <w:next w:val="Normale"/>
    <w:qFormat/>
    <w:pPr>
      <w:keepNext/>
      <w:jc w:val="center"/>
      <w:outlineLvl w:val="4"/>
    </w:pPr>
    <w:rPr>
      <w:i/>
      <w:color w:val="FF0000"/>
      <w:sz w:val="22"/>
      <w:szCs w:val="20"/>
    </w:rPr>
  </w:style>
  <w:style w:type="paragraph" w:styleId="Titolo6">
    <w:name w:val="heading 6"/>
    <w:basedOn w:val="Normale"/>
    <w:next w:val="Normale"/>
    <w:qFormat/>
    <w:pPr>
      <w:keepNext/>
      <w:spacing w:line="360" w:lineRule="auto"/>
      <w:jc w:val="center"/>
      <w:outlineLvl w:val="5"/>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semiHidden/>
    <w:pPr>
      <w:ind w:left="1276" w:hanging="1276"/>
      <w:jc w:val="both"/>
    </w:pPr>
    <w:rPr>
      <w:b/>
      <w:sz w:val="20"/>
    </w:rPr>
  </w:style>
  <w:style w:type="paragraph" w:styleId="Testofumetto">
    <w:name w:val="Balloon Text"/>
    <w:basedOn w:val="Normale"/>
    <w:semiHidden/>
    <w:rPr>
      <w:rFonts w:ascii="Tahoma" w:hAnsi="Tahoma" w:cs="Wingdings"/>
      <w:sz w:val="16"/>
      <w:szCs w:val="16"/>
    </w:rPr>
  </w:style>
  <w:style w:type="paragraph" w:styleId="Corpodeltesto2">
    <w:name w:val="Body Text 2"/>
    <w:basedOn w:val="Normale"/>
    <w:semiHidden/>
    <w:rPr>
      <w:b/>
      <w:i/>
      <w:color w:val="0000FF"/>
      <w:sz w:val="22"/>
      <w:szCs w:val="20"/>
    </w:rPr>
  </w:style>
  <w:style w:type="paragraph" w:styleId="Corpotesto">
    <w:name w:val="Body Text"/>
    <w:basedOn w:val="Normale"/>
    <w:semiHidden/>
    <w:pPr>
      <w:spacing w:after="120"/>
    </w:pPr>
  </w:style>
  <w:style w:type="paragraph" w:customStyle="1" w:styleId="Normal1">
    <w:name w:val="Normal1"/>
    <w:basedOn w:val="Corpotesto"/>
    <w:pPr>
      <w:spacing w:after="0"/>
      <w:jc w:val="both"/>
    </w:pPr>
    <w:rPr>
      <w:szCs w:val="20"/>
    </w:rPr>
  </w:style>
  <w:style w:type="paragraph" w:styleId="Corpodeltesto3">
    <w:name w:val="Body Text 3"/>
    <w:basedOn w:val="Normale"/>
    <w:semiHidden/>
    <w:pPr>
      <w:jc w:val="both"/>
    </w:pPr>
    <w:rPr>
      <w:b/>
      <w:color w:val="0000FF"/>
      <w:sz w:val="18"/>
    </w:rPr>
  </w:style>
  <w:style w:type="paragraph" w:styleId="Intestazione">
    <w:name w:val="header"/>
    <w:basedOn w:val="Normale"/>
    <w:semiHidden/>
    <w:pPr>
      <w:tabs>
        <w:tab w:val="center" w:pos="4153"/>
        <w:tab w:val="right" w:pos="8306"/>
      </w:tabs>
    </w:pPr>
  </w:style>
  <w:style w:type="paragraph" w:styleId="Pidipagina">
    <w:name w:val="footer"/>
    <w:basedOn w:val="Normale"/>
    <w:semiHidden/>
    <w:pPr>
      <w:tabs>
        <w:tab w:val="center" w:pos="4153"/>
        <w:tab w:val="right" w:pos="8306"/>
      </w:tabs>
    </w:pPr>
  </w:style>
  <w:style w:type="character" w:styleId="Numeropagina">
    <w:name w:val="page number"/>
    <w:basedOn w:val="Carpredefinitoparagrafo"/>
    <w:semiHidden/>
  </w:style>
  <w:style w:type="paragraph" w:customStyle="1" w:styleId="Corpodeltesto31">
    <w:name w:val="Corpo del testo 31"/>
    <w:basedOn w:val="Normale"/>
    <w:rsid w:val="008612B1"/>
    <w:pPr>
      <w:widowControl w:val="0"/>
      <w:suppressAutoHyphens/>
      <w:jc w:val="both"/>
    </w:pPr>
    <w:rPr>
      <w:rFonts w:ascii="Arial" w:hAnsi="Arial" w:cs="Arial"/>
      <w:kern w:val="2"/>
      <w:sz w:val="20"/>
      <w:szCs w:val="20"/>
      <w:lang w:eastAsia="zh-CN"/>
    </w:rPr>
  </w:style>
  <w:style w:type="paragraph" w:styleId="Testonotaapidipagina">
    <w:name w:val="footnote text"/>
    <w:basedOn w:val="Normale"/>
    <w:link w:val="TestonotaapidipaginaCarattere"/>
    <w:semiHidden/>
    <w:rsid w:val="00802575"/>
    <w:rPr>
      <w:sz w:val="20"/>
      <w:szCs w:val="20"/>
    </w:rPr>
  </w:style>
  <w:style w:type="character" w:customStyle="1" w:styleId="TestonotaapidipaginaCarattere">
    <w:name w:val="Testo nota a piè di pagina Carattere"/>
    <w:basedOn w:val="Carpredefinitoparagrafo"/>
    <w:link w:val="Testonotaapidipagina"/>
    <w:semiHidden/>
    <w:rsid w:val="00802575"/>
  </w:style>
  <w:style w:type="character" w:styleId="Rimandonotaapidipagina">
    <w:name w:val="footnote reference"/>
    <w:semiHidden/>
    <w:rsid w:val="00802575"/>
    <w:rPr>
      <w:vertAlign w:val="superscript"/>
    </w:rPr>
  </w:style>
  <w:style w:type="character" w:styleId="Collegamentoipertestuale">
    <w:name w:val="Hyperlink"/>
    <w:uiPriority w:val="99"/>
    <w:unhideWhenUsed/>
    <w:rsid w:val="00802575"/>
    <w:rPr>
      <w:color w:val="0000FF"/>
      <w:u w:val="single"/>
    </w:rPr>
  </w:style>
  <w:style w:type="paragraph" w:customStyle="1" w:styleId="Default">
    <w:name w:val="Default"/>
    <w:rsid w:val="00802575"/>
    <w:pPr>
      <w:autoSpaceDE w:val="0"/>
      <w:autoSpaceDN w:val="0"/>
      <w:adjustRightInd w:val="0"/>
    </w:pPr>
    <w:rPr>
      <w:rFonts w:ascii="Arial" w:hAnsi="Arial" w:cs="Arial"/>
      <w:color w:val="000000"/>
      <w:sz w:val="24"/>
      <w:szCs w:val="24"/>
    </w:rPr>
  </w:style>
  <w:style w:type="table" w:styleId="Grigliatabella">
    <w:name w:val="Table Grid"/>
    <w:basedOn w:val="Tabellanormale"/>
    <w:uiPriority w:val="59"/>
    <w:rsid w:val="00C91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0166BA"/>
    <w:rPr>
      <w:sz w:val="24"/>
      <w:szCs w:val="24"/>
    </w:rPr>
  </w:style>
  <w:style w:type="paragraph" w:styleId="Titolo">
    <w:name w:val="Title"/>
    <w:basedOn w:val="Normale"/>
    <w:link w:val="TitoloCarattere"/>
    <w:qFormat/>
    <w:rsid w:val="00912DA1"/>
    <w:pPr>
      <w:jc w:val="center"/>
    </w:pPr>
    <w:rPr>
      <w:rFonts w:ascii="Liberty BT" w:hAnsi="Liberty BT"/>
      <w:sz w:val="44"/>
      <w:szCs w:val="20"/>
    </w:rPr>
  </w:style>
  <w:style w:type="character" w:customStyle="1" w:styleId="TitoloCarattere">
    <w:name w:val="Titolo Carattere"/>
    <w:basedOn w:val="Carpredefinitoparagrafo"/>
    <w:link w:val="Titolo"/>
    <w:rsid w:val="00912DA1"/>
    <w:rPr>
      <w:rFonts w:ascii="Liberty BT" w:hAnsi="Liberty BT"/>
      <w:sz w:val="44"/>
    </w:rPr>
  </w:style>
  <w:style w:type="paragraph" w:styleId="Paragrafoelenco">
    <w:name w:val="List Paragraph"/>
    <w:basedOn w:val="Normale"/>
    <w:uiPriority w:val="34"/>
    <w:qFormat/>
    <w:rsid w:val="00367E3B"/>
    <w:pPr>
      <w:ind w:left="720"/>
      <w:contextualSpacing/>
    </w:pPr>
  </w:style>
  <w:style w:type="paragraph" w:customStyle="1" w:styleId="p3">
    <w:name w:val="p3"/>
    <w:basedOn w:val="Normale"/>
    <w:rsid w:val="00B15E31"/>
    <w:pPr>
      <w:spacing w:before="100" w:beforeAutospacing="1" w:after="100" w:afterAutospacing="1"/>
    </w:pPr>
    <w:rPr>
      <w:rFonts w:ascii="Calibri" w:eastAsiaTheme="minorHAnsi" w:hAnsi="Calibri" w:cs="Calibri"/>
      <w:sz w:val="22"/>
      <w:szCs w:val="22"/>
    </w:rPr>
  </w:style>
  <w:style w:type="character" w:customStyle="1" w:styleId="s2">
    <w:name w:val="s2"/>
    <w:basedOn w:val="Carpredefinitoparagrafo"/>
    <w:rsid w:val="00B15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37279">
      <w:bodyDiv w:val="1"/>
      <w:marLeft w:val="0"/>
      <w:marRight w:val="0"/>
      <w:marTop w:val="0"/>
      <w:marBottom w:val="0"/>
      <w:divBdr>
        <w:top w:val="none" w:sz="0" w:space="0" w:color="auto"/>
        <w:left w:val="none" w:sz="0" w:space="0" w:color="auto"/>
        <w:bottom w:val="none" w:sz="0" w:space="0" w:color="auto"/>
        <w:right w:val="none" w:sz="0" w:space="0" w:color="auto"/>
      </w:divBdr>
    </w:div>
    <w:div w:id="965548939">
      <w:bodyDiv w:val="1"/>
      <w:marLeft w:val="0"/>
      <w:marRight w:val="0"/>
      <w:marTop w:val="0"/>
      <w:marBottom w:val="0"/>
      <w:divBdr>
        <w:top w:val="none" w:sz="0" w:space="0" w:color="auto"/>
        <w:left w:val="none" w:sz="0" w:space="0" w:color="auto"/>
        <w:bottom w:val="none" w:sz="0" w:space="0" w:color="auto"/>
        <w:right w:val="none" w:sz="0" w:space="0" w:color="auto"/>
      </w:divBdr>
    </w:div>
    <w:div w:id="1253856114">
      <w:bodyDiv w:val="1"/>
      <w:marLeft w:val="0"/>
      <w:marRight w:val="0"/>
      <w:marTop w:val="0"/>
      <w:marBottom w:val="0"/>
      <w:divBdr>
        <w:top w:val="none" w:sz="0" w:space="0" w:color="auto"/>
        <w:left w:val="none" w:sz="0" w:space="0" w:color="auto"/>
        <w:bottom w:val="none" w:sz="0" w:space="0" w:color="auto"/>
        <w:right w:val="none" w:sz="0" w:space="0" w:color="auto"/>
      </w:divBdr>
    </w:div>
    <w:div w:id="1660619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io\Dati%20applicazioni\Microsoft\Modelli\deliberagiunta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deliberagiuntaK</Template>
  <TotalTime>45</TotalTime>
  <Pages>5</Pages>
  <Words>1947</Words>
  <Characters>11104</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COMUNE DI ____________________________________</vt:lpstr>
    </vt:vector>
  </TitlesOfParts>
  <Company/>
  <LinksUpToDate>false</LinksUpToDate>
  <CharactersWithSpaces>13025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____________________________________</dc:title>
  <dc:subject/>
  <dc:creator>mancio</dc:creator>
  <cp:keywords/>
  <cp:lastModifiedBy>Silvia Signorino</cp:lastModifiedBy>
  <cp:revision>57</cp:revision>
  <cp:lastPrinted>2021-05-29T15:56:00Z</cp:lastPrinted>
  <dcterms:created xsi:type="dcterms:W3CDTF">2021-06-01T07:08:00Z</dcterms:created>
  <dcterms:modified xsi:type="dcterms:W3CDTF">2021-06-01T08:10:00Z</dcterms:modified>
</cp:coreProperties>
</file>