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0FE456" w14:textId="77777777" w:rsidR="007A4CEB" w:rsidRDefault="007A4CEB" w:rsidP="00301303">
      <w:pPr>
        <w:widowControl w:val="0"/>
        <w:shd w:val="clear" w:color="auto" w:fill="FFFFFF"/>
        <w:spacing w:after="120" w:line="360" w:lineRule="auto"/>
        <w:jc w:val="both"/>
        <w:rPr>
          <w:rFonts w:ascii="Bookman Old Style" w:hAnsi="Bookman Old Style" w:cs="Calibri"/>
          <w:b/>
          <w:color w:val="222222"/>
          <w:sz w:val="24"/>
          <w:szCs w:val="24"/>
          <w:u w:val="single"/>
        </w:rPr>
      </w:pPr>
      <w:bookmarkStart w:id="0" w:name="_GoBack"/>
      <w:bookmarkEnd w:id="0"/>
    </w:p>
    <w:p w14:paraId="04B78F5D" w14:textId="55E02FDF" w:rsidR="007A4CEB" w:rsidRDefault="007A4CEB" w:rsidP="007A4CEB">
      <w:pPr>
        <w:widowControl w:val="0"/>
        <w:shd w:val="clear" w:color="auto" w:fill="FFFFFF"/>
        <w:spacing w:after="120" w:line="360" w:lineRule="auto"/>
        <w:ind w:left="3969"/>
        <w:jc w:val="both"/>
        <w:rPr>
          <w:rFonts w:ascii="Bookman Old Style" w:hAnsi="Bookman Old Style" w:cs="Calibri"/>
          <w:b/>
          <w:color w:val="222222"/>
          <w:sz w:val="24"/>
          <w:szCs w:val="24"/>
          <w:u w:val="single"/>
        </w:rPr>
      </w:pPr>
      <w:r w:rsidRPr="00E66107">
        <w:rPr>
          <w:rFonts w:cs="Calibri"/>
          <w:noProof/>
          <w:color w:val="222222"/>
          <w:lang w:eastAsia="it-IT"/>
        </w:rPr>
        <w:drawing>
          <wp:inline distT="0" distB="0" distL="0" distR="0" wp14:anchorId="149965A4" wp14:editId="5BDD0012">
            <wp:extent cx="809625" cy="1196835"/>
            <wp:effectExtent l="19050" t="0" r="0" b="0"/>
            <wp:docPr id="2" name="Immagine 1" descr="Marchio ANCI Istituzion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hio ANCI Istituzionale.jpg"/>
                    <pic:cNvPicPr/>
                  </pic:nvPicPr>
                  <pic:blipFill>
                    <a:blip r:embed="rId5" cstate="print"/>
                    <a:stretch>
                      <a:fillRect/>
                    </a:stretch>
                  </pic:blipFill>
                  <pic:spPr>
                    <a:xfrm>
                      <a:off x="0" y="0"/>
                      <a:ext cx="811233" cy="1199213"/>
                    </a:xfrm>
                    <a:prstGeom prst="rect">
                      <a:avLst/>
                    </a:prstGeom>
                  </pic:spPr>
                </pic:pic>
              </a:graphicData>
            </a:graphic>
          </wp:inline>
        </w:drawing>
      </w:r>
    </w:p>
    <w:p w14:paraId="11038747" w14:textId="77777777" w:rsidR="007A4CEB" w:rsidRPr="00D456F5" w:rsidRDefault="007A4CEB" w:rsidP="00301303">
      <w:pPr>
        <w:widowControl w:val="0"/>
        <w:shd w:val="clear" w:color="auto" w:fill="FFFFFF"/>
        <w:spacing w:after="120" w:line="360" w:lineRule="auto"/>
        <w:jc w:val="both"/>
        <w:rPr>
          <w:rFonts w:ascii="Bookman Old Style" w:hAnsi="Bookman Old Style" w:cs="Calibri"/>
          <w:b/>
          <w:color w:val="FF0000"/>
          <w:sz w:val="24"/>
          <w:szCs w:val="24"/>
          <w:u w:val="single"/>
        </w:rPr>
      </w:pPr>
    </w:p>
    <w:p w14:paraId="559C5CAA" w14:textId="77777777" w:rsidR="00D456F5" w:rsidRDefault="00D456F5" w:rsidP="00301303">
      <w:pPr>
        <w:widowControl w:val="0"/>
        <w:shd w:val="clear" w:color="auto" w:fill="FFFFFF"/>
        <w:spacing w:after="120" w:line="360" w:lineRule="auto"/>
        <w:jc w:val="both"/>
        <w:rPr>
          <w:rFonts w:ascii="Bookman Old Style" w:hAnsi="Bookman Old Style" w:cs="Calibri"/>
          <w:b/>
          <w:color w:val="222222"/>
          <w:sz w:val="24"/>
          <w:szCs w:val="24"/>
          <w:u w:val="single"/>
        </w:rPr>
      </w:pPr>
    </w:p>
    <w:p w14:paraId="0C70F033" w14:textId="2C186324" w:rsidR="00E175C3" w:rsidRDefault="00E175C3" w:rsidP="00301303">
      <w:pPr>
        <w:widowControl w:val="0"/>
        <w:shd w:val="clear" w:color="auto" w:fill="FFFFFF"/>
        <w:spacing w:after="120" w:line="360" w:lineRule="auto"/>
        <w:jc w:val="both"/>
        <w:rPr>
          <w:rFonts w:ascii="Bookman Old Style" w:hAnsi="Bookman Old Style" w:cs="Calibri"/>
          <w:b/>
          <w:color w:val="222222"/>
          <w:sz w:val="24"/>
          <w:szCs w:val="24"/>
          <w:u w:val="single"/>
        </w:rPr>
      </w:pPr>
      <w:r>
        <w:rPr>
          <w:rFonts w:ascii="Bookman Old Style" w:hAnsi="Bookman Old Style" w:cs="Calibri"/>
          <w:b/>
          <w:color w:val="222222"/>
          <w:sz w:val="24"/>
          <w:szCs w:val="24"/>
          <w:u w:val="single"/>
        </w:rPr>
        <w:t>Roma, 11 luglio 2019</w:t>
      </w:r>
    </w:p>
    <w:p w14:paraId="63BB8634" w14:textId="77777777" w:rsidR="00E175C3" w:rsidRDefault="00E175C3" w:rsidP="00301303">
      <w:pPr>
        <w:widowControl w:val="0"/>
        <w:shd w:val="clear" w:color="auto" w:fill="FFFFFF"/>
        <w:spacing w:after="120" w:line="360" w:lineRule="auto"/>
        <w:jc w:val="both"/>
        <w:rPr>
          <w:rFonts w:ascii="Bookman Old Style" w:hAnsi="Bookman Old Style" w:cs="Calibri"/>
          <w:b/>
          <w:color w:val="222222"/>
          <w:sz w:val="24"/>
          <w:szCs w:val="24"/>
          <w:u w:val="single"/>
        </w:rPr>
      </w:pPr>
    </w:p>
    <w:p w14:paraId="65A240A5" w14:textId="32371CCA" w:rsidR="00301303" w:rsidRPr="00301303" w:rsidRDefault="007A4CEB" w:rsidP="00301303">
      <w:pPr>
        <w:widowControl w:val="0"/>
        <w:shd w:val="clear" w:color="auto" w:fill="FFFFFF"/>
        <w:spacing w:after="120" w:line="360" w:lineRule="auto"/>
        <w:jc w:val="both"/>
        <w:rPr>
          <w:rFonts w:ascii="Bookman Old Style" w:hAnsi="Bookman Old Style" w:cs="Calibri"/>
          <w:b/>
          <w:color w:val="222222"/>
          <w:sz w:val="24"/>
          <w:szCs w:val="24"/>
        </w:rPr>
      </w:pPr>
      <w:r w:rsidRPr="007A4CEB">
        <w:rPr>
          <w:rFonts w:ascii="Bookman Old Style" w:hAnsi="Bookman Old Style" w:cs="Calibri"/>
          <w:b/>
          <w:color w:val="222222"/>
          <w:sz w:val="24"/>
          <w:szCs w:val="24"/>
          <w:u w:val="single"/>
        </w:rPr>
        <w:t>Informativa su revisione della normativa in materia di assunzioni di personale</w:t>
      </w:r>
      <w:r w:rsidR="00E175C3">
        <w:rPr>
          <w:rFonts w:ascii="Bookman Old Style" w:hAnsi="Bookman Old Style" w:cs="Calibri"/>
          <w:b/>
          <w:color w:val="222222"/>
          <w:sz w:val="24"/>
          <w:szCs w:val="24"/>
          <w:u w:val="single"/>
        </w:rPr>
        <w:t>: art. 33 del</w:t>
      </w:r>
      <w:r w:rsidRPr="007A4CEB">
        <w:rPr>
          <w:rFonts w:ascii="Bookman Old Style" w:hAnsi="Bookman Old Style" w:cs="Calibri"/>
          <w:b/>
          <w:color w:val="222222"/>
          <w:sz w:val="24"/>
          <w:szCs w:val="24"/>
          <w:u w:val="single"/>
        </w:rPr>
        <w:t xml:space="preserve"> </w:t>
      </w:r>
      <w:r w:rsidR="00301303" w:rsidRPr="00301303">
        <w:rPr>
          <w:rFonts w:ascii="Bookman Old Style" w:hAnsi="Bookman Old Style" w:cs="Calibri"/>
          <w:b/>
          <w:color w:val="222222"/>
          <w:sz w:val="24"/>
          <w:szCs w:val="24"/>
          <w:u w:val="single"/>
        </w:rPr>
        <w:t>Decreto-legge n. 34/2019</w:t>
      </w:r>
      <w:r w:rsidR="00301303" w:rsidRPr="00301303">
        <w:rPr>
          <w:rFonts w:ascii="Bookman Old Style" w:hAnsi="Bookman Old Style" w:cs="Calibri"/>
          <w:b/>
          <w:color w:val="222222"/>
          <w:sz w:val="24"/>
          <w:szCs w:val="24"/>
        </w:rPr>
        <w:t>.</w:t>
      </w:r>
    </w:p>
    <w:p w14:paraId="1C96E757" w14:textId="77777777" w:rsidR="00301303" w:rsidRDefault="00301303" w:rsidP="00301303">
      <w:pPr>
        <w:widowControl w:val="0"/>
        <w:shd w:val="clear" w:color="auto" w:fill="FFFFFF"/>
        <w:spacing w:after="120" w:line="360" w:lineRule="auto"/>
        <w:jc w:val="both"/>
        <w:rPr>
          <w:rFonts w:ascii="Bookman Old Style" w:hAnsi="Bookman Old Style" w:cs="Calibri"/>
          <w:bCs/>
          <w:color w:val="222222"/>
          <w:sz w:val="24"/>
          <w:szCs w:val="24"/>
        </w:rPr>
      </w:pPr>
    </w:p>
    <w:p w14:paraId="0EA76F98" w14:textId="33EB8447" w:rsidR="00E30F20" w:rsidRPr="0054409D" w:rsidRDefault="00E30F20" w:rsidP="0054409D">
      <w:pPr>
        <w:pStyle w:val="Paragrafoelenco"/>
        <w:widowControl w:val="0"/>
        <w:numPr>
          <w:ilvl w:val="0"/>
          <w:numId w:val="5"/>
        </w:numPr>
        <w:shd w:val="clear" w:color="auto" w:fill="FFFFFF"/>
        <w:spacing w:after="120" w:line="360" w:lineRule="auto"/>
        <w:jc w:val="both"/>
        <w:rPr>
          <w:rFonts w:ascii="Bookman Old Style" w:hAnsi="Bookman Old Style" w:cs="Calibri"/>
          <w:b/>
          <w:bCs/>
          <w:color w:val="222222"/>
          <w:sz w:val="24"/>
          <w:szCs w:val="24"/>
          <w:u w:val="single"/>
        </w:rPr>
      </w:pPr>
      <w:r w:rsidRPr="0054409D">
        <w:rPr>
          <w:rFonts w:ascii="Bookman Old Style" w:hAnsi="Bookman Old Style" w:cs="Calibri"/>
          <w:b/>
          <w:bCs/>
          <w:color w:val="222222"/>
          <w:sz w:val="24"/>
          <w:szCs w:val="24"/>
          <w:u w:val="single"/>
        </w:rPr>
        <w:t>Premessa</w:t>
      </w:r>
    </w:p>
    <w:p w14:paraId="31B03658" w14:textId="1DA16CB3" w:rsidR="00E30F20" w:rsidRDefault="00E30F20" w:rsidP="00E30F20">
      <w:pPr>
        <w:widowControl w:val="0"/>
        <w:shd w:val="clear" w:color="auto" w:fill="FFFFFF"/>
        <w:spacing w:after="120" w:line="360" w:lineRule="auto"/>
        <w:jc w:val="both"/>
        <w:rPr>
          <w:rFonts w:ascii="Bookman Old Style" w:hAnsi="Bookman Old Style" w:cs="Calibri"/>
          <w:bCs/>
          <w:color w:val="222222"/>
          <w:sz w:val="24"/>
          <w:szCs w:val="24"/>
        </w:rPr>
      </w:pPr>
      <w:r w:rsidRPr="00051CD0">
        <w:rPr>
          <w:rFonts w:ascii="Bookman Old Style" w:hAnsi="Bookman Old Style" w:cs="Calibri"/>
          <w:b/>
          <w:bCs/>
          <w:color w:val="222222"/>
          <w:sz w:val="24"/>
          <w:szCs w:val="24"/>
          <w:u w:val="single"/>
        </w:rPr>
        <w:t>Le unità di personale in servizio nei Comuni italiani si sono ridotte in 10 anni di oltre il 20%.</w:t>
      </w:r>
      <w:r>
        <w:rPr>
          <w:rFonts w:ascii="Bookman Old Style" w:hAnsi="Bookman Old Style" w:cs="Calibri"/>
          <w:bCs/>
          <w:color w:val="222222"/>
          <w:sz w:val="24"/>
          <w:szCs w:val="24"/>
        </w:rPr>
        <w:t xml:space="preserve"> Se si prende come riferimento il decennio 2007-2017, infatti, i dati del Conto annuale testimoniano una contrazion</w:t>
      </w:r>
      <w:r w:rsidR="002118F7">
        <w:rPr>
          <w:rFonts w:ascii="Bookman Old Style" w:hAnsi="Bookman Old Style" w:cs="Calibri"/>
          <w:bCs/>
          <w:color w:val="222222"/>
          <w:sz w:val="24"/>
          <w:szCs w:val="24"/>
        </w:rPr>
        <w:t>e di oltre 84.000 unità, (</w:t>
      </w:r>
      <w:r>
        <w:rPr>
          <w:rFonts w:ascii="Bookman Old Style" w:hAnsi="Bookman Old Style" w:cs="Calibri"/>
          <w:bCs/>
          <w:color w:val="222222"/>
          <w:sz w:val="24"/>
          <w:szCs w:val="24"/>
        </w:rPr>
        <w:t xml:space="preserve">da </w:t>
      </w:r>
      <w:r w:rsidRPr="00E30F20">
        <w:rPr>
          <w:rFonts w:ascii="Bookman Old Style" w:hAnsi="Bookman Old Style" w:cs="Calibri"/>
          <w:bCs/>
          <w:color w:val="222222"/>
          <w:sz w:val="24"/>
          <w:szCs w:val="24"/>
        </w:rPr>
        <w:t xml:space="preserve">479.233 </w:t>
      </w:r>
      <w:r>
        <w:rPr>
          <w:rFonts w:ascii="Bookman Old Style" w:hAnsi="Bookman Old Style" w:cs="Calibri"/>
          <w:bCs/>
          <w:color w:val="222222"/>
          <w:sz w:val="24"/>
          <w:szCs w:val="24"/>
        </w:rPr>
        <w:t>a</w:t>
      </w:r>
      <w:r w:rsidRPr="00E30F20">
        <w:rPr>
          <w:rFonts w:ascii="Bookman Old Style" w:hAnsi="Bookman Old Style" w:cs="Calibri"/>
          <w:bCs/>
          <w:color w:val="222222"/>
          <w:sz w:val="24"/>
          <w:szCs w:val="24"/>
        </w:rPr>
        <w:t xml:space="preserve"> 394.938 </w:t>
      </w:r>
      <w:r w:rsidR="002118F7">
        <w:rPr>
          <w:rFonts w:ascii="Bookman Old Style" w:hAnsi="Bookman Old Style" w:cs="Calibri"/>
          <w:bCs/>
          <w:color w:val="222222"/>
          <w:sz w:val="24"/>
          <w:szCs w:val="24"/>
        </w:rPr>
        <w:t>dipendenti in servizio)</w:t>
      </w:r>
      <w:r>
        <w:rPr>
          <w:rFonts w:ascii="Bookman Old Style" w:hAnsi="Bookman Old Style" w:cs="Calibri"/>
          <w:bCs/>
          <w:color w:val="222222"/>
          <w:sz w:val="24"/>
          <w:szCs w:val="24"/>
        </w:rPr>
        <w:t>.</w:t>
      </w:r>
    </w:p>
    <w:p w14:paraId="0D1EA054" w14:textId="4B36FC18" w:rsidR="00E30F20" w:rsidRDefault="00E30F20" w:rsidP="00E30F20">
      <w:pPr>
        <w:widowControl w:val="0"/>
        <w:shd w:val="clear" w:color="auto" w:fill="FFFFFF"/>
        <w:spacing w:after="120" w:line="360" w:lineRule="auto"/>
        <w:jc w:val="both"/>
        <w:rPr>
          <w:rFonts w:ascii="Bookman Old Style" w:hAnsi="Bookman Old Style" w:cs="Calibri"/>
          <w:bCs/>
          <w:color w:val="222222"/>
          <w:sz w:val="24"/>
          <w:szCs w:val="24"/>
        </w:rPr>
      </w:pPr>
      <w:r>
        <w:rPr>
          <w:rFonts w:ascii="Bookman Old Style" w:hAnsi="Bookman Old Style" w:cs="Calibri"/>
          <w:bCs/>
          <w:color w:val="222222"/>
          <w:sz w:val="24"/>
          <w:szCs w:val="24"/>
        </w:rPr>
        <w:t>Tale dinamica è stata imposta con</w:t>
      </w:r>
      <w:r w:rsidRPr="00E30F20">
        <w:rPr>
          <w:rFonts w:ascii="Bookman Old Style" w:hAnsi="Bookman Old Style" w:cs="Calibri"/>
          <w:bCs/>
          <w:color w:val="222222"/>
          <w:sz w:val="24"/>
          <w:szCs w:val="24"/>
        </w:rPr>
        <w:t xml:space="preserve"> misure di contenimento della spesa di personale e di limitazione delle assunzioni attraverso il meccanismo </w:t>
      </w:r>
      <w:r w:rsidR="002118F7">
        <w:rPr>
          <w:rFonts w:ascii="Bookman Old Style" w:hAnsi="Bookman Old Style" w:cs="Calibri"/>
          <w:bCs/>
          <w:color w:val="222222"/>
          <w:sz w:val="24"/>
          <w:szCs w:val="24"/>
        </w:rPr>
        <w:t>di</w:t>
      </w:r>
      <w:r w:rsidRPr="00E30F20">
        <w:rPr>
          <w:rFonts w:ascii="Bookman Old Style" w:hAnsi="Bookman Old Style" w:cs="Calibri"/>
          <w:bCs/>
          <w:color w:val="222222"/>
          <w:sz w:val="24"/>
          <w:szCs w:val="24"/>
        </w:rPr>
        <w:t xml:space="preserve"> turn-over </w:t>
      </w:r>
      <w:r w:rsidR="002118F7">
        <w:rPr>
          <w:rFonts w:ascii="Bookman Old Style" w:hAnsi="Bookman Old Style" w:cs="Calibri"/>
          <w:bCs/>
          <w:color w:val="222222"/>
          <w:sz w:val="24"/>
          <w:szCs w:val="24"/>
        </w:rPr>
        <w:t xml:space="preserve">ridotto </w:t>
      </w:r>
      <w:r w:rsidRPr="00E30F20">
        <w:rPr>
          <w:rFonts w:ascii="Bookman Old Style" w:hAnsi="Bookman Old Style" w:cs="Calibri"/>
          <w:bCs/>
          <w:color w:val="222222"/>
          <w:sz w:val="24"/>
          <w:szCs w:val="24"/>
        </w:rPr>
        <w:t xml:space="preserve">(sostituzione parziale del personale </w:t>
      </w:r>
      <w:r w:rsidR="002118F7">
        <w:rPr>
          <w:rFonts w:ascii="Bookman Old Style" w:hAnsi="Bookman Old Style" w:cs="Calibri"/>
          <w:bCs/>
          <w:color w:val="222222"/>
          <w:sz w:val="24"/>
          <w:szCs w:val="24"/>
        </w:rPr>
        <w:t xml:space="preserve">via </w:t>
      </w:r>
      <w:r>
        <w:rPr>
          <w:rFonts w:ascii="Bookman Old Style" w:hAnsi="Bookman Old Style" w:cs="Calibri"/>
          <w:bCs/>
          <w:color w:val="222222"/>
          <w:sz w:val="24"/>
          <w:szCs w:val="24"/>
        </w:rPr>
        <w:t xml:space="preserve">via </w:t>
      </w:r>
      <w:r w:rsidRPr="00E30F20">
        <w:rPr>
          <w:rFonts w:ascii="Bookman Old Style" w:hAnsi="Bookman Old Style" w:cs="Calibri"/>
          <w:bCs/>
          <w:color w:val="222222"/>
          <w:sz w:val="24"/>
          <w:szCs w:val="24"/>
        </w:rPr>
        <w:t>cessato</w:t>
      </w:r>
      <w:r>
        <w:rPr>
          <w:rFonts w:ascii="Bookman Old Style" w:hAnsi="Bookman Old Style" w:cs="Calibri"/>
          <w:bCs/>
          <w:color w:val="222222"/>
          <w:sz w:val="24"/>
          <w:szCs w:val="24"/>
        </w:rPr>
        <w:t xml:space="preserve"> dal servizio</w:t>
      </w:r>
      <w:r w:rsidRPr="00E30F20">
        <w:rPr>
          <w:rFonts w:ascii="Bookman Old Style" w:hAnsi="Bookman Old Style" w:cs="Calibri"/>
          <w:bCs/>
          <w:color w:val="222222"/>
          <w:sz w:val="24"/>
          <w:szCs w:val="24"/>
        </w:rPr>
        <w:t xml:space="preserve">). </w:t>
      </w:r>
    </w:p>
    <w:p w14:paraId="5F854AC5" w14:textId="77777777" w:rsidR="00E30F20" w:rsidRPr="00E30F20" w:rsidRDefault="00E30F20" w:rsidP="00E30F20">
      <w:pPr>
        <w:widowControl w:val="0"/>
        <w:shd w:val="clear" w:color="auto" w:fill="FFFFFF"/>
        <w:spacing w:after="120" w:line="360" w:lineRule="auto"/>
        <w:jc w:val="both"/>
        <w:rPr>
          <w:rFonts w:ascii="Bookman Old Style" w:hAnsi="Bookman Old Style" w:cs="Calibri"/>
          <w:bCs/>
          <w:color w:val="222222"/>
          <w:sz w:val="24"/>
          <w:szCs w:val="24"/>
        </w:rPr>
      </w:pPr>
      <w:r w:rsidRPr="00E30F20">
        <w:rPr>
          <w:rFonts w:ascii="Bookman Old Style" w:hAnsi="Bookman Old Style" w:cs="Calibri"/>
          <w:bCs/>
          <w:color w:val="222222"/>
          <w:sz w:val="24"/>
          <w:szCs w:val="24"/>
        </w:rPr>
        <w:t>Le misure richiamate hanno determinato:</w:t>
      </w:r>
    </w:p>
    <w:p w14:paraId="17924980" w14:textId="5531767D" w:rsidR="00E30F20" w:rsidRPr="00E30F20" w:rsidRDefault="00E30F20" w:rsidP="00E30F20">
      <w:pPr>
        <w:widowControl w:val="0"/>
        <w:shd w:val="clear" w:color="auto" w:fill="FFFFFF"/>
        <w:spacing w:after="120" w:line="360" w:lineRule="auto"/>
        <w:jc w:val="both"/>
        <w:rPr>
          <w:rFonts w:ascii="Bookman Old Style" w:hAnsi="Bookman Old Style" w:cs="Calibri"/>
          <w:bCs/>
          <w:color w:val="222222"/>
          <w:sz w:val="24"/>
          <w:szCs w:val="24"/>
        </w:rPr>
      </w:pPr>
      <w:r w:rsidRPr="00E30F20">
        <w:rPr>
          <w:rFonts w:ascii="Bookman Old Style" w:hAnsi="Bookman Old Style" w:cs="Calibri"/>
          <w:bCs/>
          <w:color w:val="222222"/>
          <w:sz w:val="24"/>
          <w:szCs w:val="24"/>
        </w:rPr>
        <w:t>-</w:t>
      </w:r>
      <w:r w:rsidRPr="00E30F20">
        <w:rPr>
          <w:rFonts w:ascii="Bookman Old Style" w:hAnsi="Bookman Old Style" w:cs="Calibri"/>
          <w:bCs/>
          <w:color w:val="222222"/>
          <w:sz w:val="24"/>
          <w:szCs w:val="24"/>
        </w:rPr>
        <w:tab/>
      </w:r>
      <w:r w:rsidRPr="00051CD0">
        <w:rPr>
          <w:rFonts w:ascii="Bookman Old Style" w:hAnsi="Bookman Old Style" w:cs="Calibri"/>
          <w:bCs/>
          <w:color w:val="222222"/>
          <w:sz w:val="24"/>
          <w:szCs w:val="24"/>
          <w:u w:val="single"/>
        </w:rPr>
        <w:t>la riduzione del rapporto dipendenti comunali/abitanti,</w:t>
      </w:r>
      <w:r w:rsidRPr="00E30F20">
        <w:rPr>
          <w:rFonts w:ascii="Bookman Old Style" w:hAnsi="Bookman Old Style" w:cs="Calibri"/>
          <w:bCs/>
          <w:color w:val="222222"/>
          <w:sz w:val="24"/>
          <w:szCs w:val="24"/>
        </w:rPr>
        <w:t xml:space="preserve"> </w:t>
      </w:r>
      <w:r>
        <w:rPr>
          <w:rFonts w:ascii="Bookman Old Style" w:hAnsi="Bookman Old Style" w:cs="Calibri"/>
          <w:bCs/>
          <w:color w:val="222222"/>
          <w:sz w:val="24"/>
          <w:szCs w:val="24"/>
        </w:rPr>
        <w:t>in quello che è il</w:t>
      </w:r>
      <w:r w:rsidRPr="00E30F20">
        <w:rPr>
          <w:rFonts w:ascii="Bookman Old Style" w:hAnsi="Bookman Old Style" w:cs="Calibri"/>
          <w:bCs/>
          <w:color w:val="222222"/>
          <w:sz w:val="24"/>
          <w:szCs w:val="24"/>
        </w:rPr>
        <w:t xml:space="preserve"> comparto della PA più impegnato nell’erogazione </w:t>
      </w:r>
      <w:r>
        <w:rPr>
          <w:rFonts w:ascii="Bookman Old Style" w:hAnsi="Bookman Old Style" w:cs="Calibri"/>
          <w:bCs/>
          <w:color w:val="222222"/>
          <w:sz w:val="24"/>
          <w:szCs w:val="24"/>
        </w:rPr>
        <w:t>diretta d</w:t>
      </w:r>
      <w:r w:rsidRPr="00E30F20">
        <w:rPr>
          <w:rFonts w:ascii="Bookman Old Style" w:hAnsi="Bookman Old Style" w:cs="Calibri"/>
          <w:bCs/>
          <w:color w:val="222222"/>
          <w:sz w:val="24"/>
          <w:szCs w:val="24"/>
        </w:rPr>
        <w:t>i servizi al cittadino</w:t>
      </w:r>
      <w:r w:rsidR="002118F7">
        <w:rPr>
          <w:rFonts w:ascii="Bookman Old Style" w:hAnsi="Bookman Old Style" w:cs="Calibri"/>
          <w:bCs/>
          <w:color w:val="222222"/>
          <w:sz w:val="24"/>
          <w:szCs w:val="24"/>
        </w:rPr>
        <w:t xml:space="preserve"> e</w:t>
      </w:r>
      <w:r>
        <w:rPr>
          <w:rFonts w:ascii="Bookman Old Style" w:hAnsi="Bookman Old Style" w:cs="Calibri"/>
          <w:bCs/>
          <w:color w:val="222222"/>
          <w:sz w:val="24"/>
          <w:szCs w:val="24"/>
        </w:rPr>
        <w:t xml:space="preserve"> in una fase istituzionale in cui</w:t>
      </w:r>
      <w:r w:rsidRPr="00E30F20">
        <w:rPr>
          <w:rFonts w:ascii="Bookman Old Style" w:hAnsi="Bookman Old Style" w:cs="Calibri"/>
          <w:bCs/>
          <w:color w:val="222222"/>
          <w:sz w:val="24"/>
          <w:szCs w:val="24"/>
        </w:rPr>
        <w:t xml:space="preserve"> le funzioni attribuite ai Comuni a vario titolo sono </w:t>
      </w:r>
      <w:r w:rsidR="002118F7">
        <w:rPr>
          <w:rFonts w:ascii="Bookman Old Style" w:hAnsi="Bookman Old Style" w:cs="Calibri"/>
          <w:bCs/>
          <w:color w:val="222222"/>
          <w:sz w:val="24"/>
          <w:szCs w:val="24"/>
        </w:rPr>
        <w:t>sensibilmente</w:t>
      </w:r>
      <w:r>
        <w:rPr>
          <w:rFonts w:ascii="Bookman Old Style" w:hAnsi="Bookman Old Style" w:cs="Calibri"/>
          <w:bCs/>
          <w:color w:val="222222"/>
          <w:sz w:val="24"/>
          <w:szCs w:val="24"/>
        </w:rPr>
        <w:t xml:space="preserve"> </w:t>
      </w:r>
      <w:r w:rsidRPr="00E30F20">
        <w:rPr>
          <w:rFonts w:ascii="Bookman Old Style" w:hAnsi="Bookman Old Style" w:cs="Calibri"/>
          <w:bCs/>
          <w:color w:val="222222"/>
          <w:sz w:val="24"/>
          <w:szCs w:val="24"/>
        </w:rPr>
        <w:t>aumentate</w:t>
      </w:r>
      <w:r w:rsidR="002118F7">
        <w:rPr>
          <w:rFonts w:ascii="Bookman Old Style" w:hAnsi="Bookman Old Style" w:cs="Calibri"/>
          <w:bCs/>
          <w:color w:val="222222"/>
          <w:sz w:val="24"/>
          <w:szCs w:val="24"/>
        </w:rPr>
        <w:t xml:space="preserve"> (a titolo meramente esemplificativo: competenze in merito al </w:t>
      </w:r>
      <w:r w:rsidR="002118F7" w:rsidRPr="002118F7">
        <w:rPr>
          <w:rFonts w:ascii="Bookman Old Style" w:hAnsi="Bookman Old Style" w:cs="Calibri"/>
          <w:bCs/>
          <w:color w:val="222222"/>
          <w:sz w:val="24"/>
          <w:szCs w:val="24"/>
        </w:rPr>
        <w:t>reddito di cittadinanza; nuove funzioni della polizia locale in materia di sicurezza integrata; adempimenti anagrafici per le unioni civili; casellario dell’assistenza; trasferimento di competenze CCIAA in materia di attività produttive; divorzi e separazioni; minori stranieri non accompagnati;</w:t>
      </w:r>
      <w:r w:rsidR="002118F7">
        <w:rPr>
          <w:rFonts w:ascii="Bookman Old Style" w:hAnsi="Bookman Old Style" w:cs="Calibri"/>
          <w:bCs/>
          <w:color w:val="222222"/>
          <w:sz w:val="24"/>
          <w:szCs w:val="24"/>
        </w:rPr>
        <w:t xml:space="preserve"> richiedenti asilo</w:t>
      </w:r>
      <w:r w:rsidR="002118F7" w:rsidRPr="002118F7">
        <w:rPr>
          <w:rFonts w:ascii="Bookman Old Style" w:hAnsi="Bookman Old Style" w:cs="Calibri"/>
          <w:bCs/>
          <w:color w:val="222222"/>
          <w:sz w:val="24"/>
          <w:szCs w:val="24"/>
        </w:rPr>
        <w:t xml:space="preserve">; adempimenti in </w:t>
      </w:r>
      <w:r w:rsidR="002118F7" w:rsidRPr="002118F7">
        <w:rPr>
          <w:rFonts w:ascii="Bookman Old Style" w:hAnsi="Bookman Old Style" w:cs="Calibri"/>
          <w:bCs/>
          <w:color w:val="222222"/>
          <w:sz w:val="24"/>
          <w:szCs w:val="24"/>
        </w:rPr>
        <w:lastRenderedPageBreak/>
        <w:t>materia di anticorruzione, trasparenza, privacy, amministrazione digitale, armonizzazione contabile, codice appalti etc.</w:t>
      </w:r>
      <w:r w:rsidR="002118F7">
        <w:rPr>
          <w:rFonts w:ascii="Bookman Old Style" w:hAnsi="Bookman Old Style" w:cs="Calibri"/>
          <w:bCs/>
          <w:color w:val="222222"/>
          <w:sz w:val="24"/>
          <w:szCs w:val="24"/>
        </w:rPr>
        <w:t>)</w:t>
      </w:r>
      <w:r w:rsidRPr="00E30F20">
        <w:rPr>
          <w:rFonts w:ascii="Bookman Old Style" w:hAnsi="Bookman Old Style" w:cs="Calibri"/>
          <w:bCs/>
          <w:color w:val="222222"/>
          <w:sz w:val="24"/>
          <w:szCs w:val="24"/>
        </w:rPr>
        <w:t>;</w:t>
      </w:r>
    </w:p>
    <w:p w14:paraId="621A767C" w14:textId="7AB2B52D" w:rsidR="00E30F20" w:rsidRPr="00E30F20" w:rsidRDefault="00E30F20" w:rsidP="00E30F20">
      <w:pPr>
        <w:widowControl w:val="0"/>
        <w:shd w:val="clear" w:color="auto" w:fill="FFFFFF"/>
        <w:spacing w:after="120" w:line="360" w:lineRule="auto"/>
        <w:jc w:val="both"/>
        <w:rPr>
          <w:rFonts w:ascii="Bookman Old Style" w:hAnsi="Bookman Old Style" w:cs="Calibri"/>
          <w:bCs/>
          <w:color w:val="222222"/>
          <w:sz w:val="24"/>
          <w:szCs w:val="24"/>
        </w:rPr>
      </w:pPr>
      <w:r w:rsidRPr="00E30F20">
        <w:rPr>
          <w:rFonts w:ascii="Bookman Old Style" w:hAnsi="Bookman Old Style" w:cs="Calibri"/>
          <w:bCs/>
          <w:color w:val="222222"/>
          <w:sz w:val="24"/>
          <w:szCs w:val="24"/>
        </w:rPr>
        <w:t>-</w:t>
      </w:r>
      <w:r w:rsidRPr="00E30F20">
        <w:rPr>
          <w:rFonts w:ascii="Bookman Old Style" w:hAnsi="Bookman Old Style" w:cs="Calibri"/>
          <w:bCs/>
          <w:color w:val="222222"/>
          <w:sz w:val="24"/>
          <w:szCs w:val="24"/>
        </w:rPr>
        <w:tab/>
        <w:t>l’invecchiamento della popolazione lavorativa</w:t>
      </w:r>
      <w:r w:rsidRPr="00051CD0">
        <w:rPr>
          <w:rFonts w:ascii="Bookman Old Style" w:hAnsi="Bookman Old Style" w:cs="Calibri"/>
          <w:bCs/>
          <w:color w:val="222222"/>
          <w:sz w:val="24"/>
          <w:szCs w:val="24"/>
          <w:u w:val="single"/>
        </w:rPr>
        <w:t xml:space="preserve">. Oggi l’età media del personale in servizio </w:t>
      </w:r>
      <w:r w:rsidR="002118F7">
        <w:rPr>
          <w:rFonts w:ascii="Bookman Old Style" w:hAnsi="Bookman Old Style" w:cs="Calibri"/>
          <w:bCs/>
          <w:color w:val="222222"/>
          <w:sz w:val="24"/>
          <w:szCs w:val="24"/>
          <w:u w:val="single"/>
        </w:rPr>
        <w:t>si colloca nella fascia 50-55 anni</w:t>
      </w:r>
      <w:r>
        <w:rPr>
          <w:rFonts w:ascii="Bookman Old Style" w:hAnsi="Bookman Old Style" w:cs="Calibri"/>
          <w:bCs/>
          <w:color w:val="222222"/>
          <w:sz w:val="24"/>
          <w:szCs w:val="24"/>
        </w:rPr>
        <w:t xml:space="preserve"> (solo il 18</w:t>
      </w:r>
      <w:r w:rsidRPr="00E30F20">
        <w:rPr>
          <w:rFonts w:ascii="Bookman Old Style" w:hAnsi="Bookman Old Style" w:cs="Calibri"/>
          <w:bCs/>
          <w:color w:val="222222"/>
          <w:sz w:val="24"/>
          <w:szCs w:val="24"/>
        </w:rPr>
        <w:t>% dei dipendenti ha meno di 45 anni). Più grave la situazione dei dirigenti: solo 4 dirigenti su 100 hanno meno di 45 anni, mentre più del 60% dei dirigenti in servizio supera i 55 anni;</w:t>
      </w:r>
    </w:p>
    <w:p w14:paraId="2C405BB9" w14:textId="1207B5E6" w:rsidR="00E30F20" w:rsidRDefault="00E30F20" w:rsidP="00E30F20">
      <w:pPr>
        <w:widowControl w:val="0"/>
        <w:shd w:val="clear" w:color="auto" w:fill="FFFFFF"/>
        <w:spacing w:after="120" w:line="360" w:lineRule="auto"/>
        <w:jc w:val="both"/>
        <w:rPr>
          <w:rFonts w:ascii="Bookman Old Style" w:hAnsi="Bookman Old Style" w:cs="Calibri"/>
          <w:bCs/>
          <w:color w:val="222222"/>
          <w:sz w:val="24"/>
          <w:szCs w:val="24"/>
        </w:rPr>
      </w:pPr>
      <w:r w:rsidRPr="00E30F20">
        <w:rPr>
          <w:rFonts w:ascii="Bookman Old Style" w:hAnsi="Bookman Old Style" w:cs="Calibri"/>
          <w:bCs/>
          <w:color w:val="222222"/>
          <w:sz w:val="24"/>
          <w:szCs w:val="24"/>
        </w:rPr>
        <w:t>-</w:t>
      </w:r>
      <w:r w:rsidRPr="00E30F20">
        <w:rPr>
          <w:rFonts w:ascii="Bookman Old Style" w:hAnsi="Bookman Old Style" w:cs="Calibri"/>
          <w:bCs/>
          <w:color w:val="222222"/>
          <w:sz w:val="24"/>
          <w:szCs w:val="24"/>
        </w:rPr>
        <w:tab/>
      </w:r>
      <w:r w:rsidRPr="00051CD0">
        <w:rPr>
          <w:rFonts w:ascii="Bookman Old Style" w:hAnsi="Bookman Old Style" w:cs="Calibri"/>
          <w:bCs/>
          <w:color w:val="222222"/>
          <w:sz w:val="24"/>
          <w:szCs w:val="24"/>
          <w:u w:val="single"/>
        </w:rPr>
        <w:t>l’impoverimento delle competenze</w:t>
      </w:r>
      <w:r w:rsidR="002118F7">
        <w:rPr>
          <w:rFonts w:ascii="Bookman Old Style" w:hAnsi="Bookman Old Style" w:cs="Calibri"/>
          <w:bCs/>
          <w:color w:val="222222"/>
          <w:sz w:val="24"/>
          <w:szCs w:val="24"/>
        </w:rPr>
        <w:t>. Oltre al continuo processo riduzione del personale in servizio, d</w:t>
      </w:r>
      <w:r w:rsidRPr="00E30F20">
        <w:rPr>
          <w:rFonts w:ascii="Bookman Old Style" w:hAnsi="Bookman Old Style" w:cs="Calibri"/>
          <w:bCs/>
          <w:color w:val="222222"/>
          <w:sz w:val="24"/>
          <w:szCs w:val="24"/>
        </w:rPr>
        <w:t>al 2010 vigono</w:t>
      </w:r>
      <w:r w:rsidR="002118F7">
        <w:rPr>
          <w:rFonts w:ascii="Bookman Old Style" w:hAnsi="Bookman Old Style" w:cs="Calibri"/>
          <w:bCs/>
          <w:color w:val="222222"/>
          <w:sz w:val="24"/>
          <w:szCs w:val="24"/>
        </w:rPr>
        <w:t xml:space="preserve"> ulteriori</w:t>
      </w:r>
      <w:r w:rsidRPr="00E30F20">
        <w:rPr>
          <w:rFonts w:ascii="Bookman Old Style" w:hAnsi="Bookman Old Style" w:cs="Calibri"/>
          <w:bCs/>
          <w:color w:val="222222"/>
          <w:sz w:val="24"/>
          <w:szCs w:val="24"/>
        </w:rPr>
        <w:t xml:space="preserve"> misure di contenimento della spesa che hanno ridotto le risorse disponibili per la formazione del personale, per le retribuzioni accessorie, per l’incentivazione della performance individuale. Nello stesso periodo l’evoluzione normativa e tecnologica ha completamente trasformato le modalità di interlocuzione tra cittadino e PA e modificato l’aspettativa di cittadini e imprese in ordine</w:t>
      </w:r>
      <w:r w:rsidR="00273439">
        <w:rPr>
          <w:rFonts w:ascii="Bookman Old Style" w:hAnsi="Bookman Old Style" w:cs="Calibri"/>
          <w:bCs/>
          <w:color w:val="222222"/>
          <w:sz w:val="24"/>
          <w:szCs w:val="24"/>
        </w:rPr>
        <w:t xml:space="preserve"> alla qualità dell’azione della PA e</w:t>
      </w:r>
      <w:r w:rsidRPr="00E30F20">
        <w:rPr>
          <w:rFonts w:ascii="Bookman Old Style" w:hAnsi="Bookman Old Style" w:cs="Calibri"/>
          <w:bCs/>
          <w:color w:val="222222"/>
          <w:sz w:val="24"/>
          <w:szCs w:val="24"/>
        </w:rPr>
        <w:t xml:space="preserve"> alle modalità di erogazione dei servizi.</w:t>
      </w:r>
    </w:p>
    <w:p w14:paraId="53CF79FD" w14:textId="167E5A1C" w:rsidR="00383589" w:rsidRPr="00E30F20" w:rsidRDefault="00383589" w:rsidP="00E30F20">
      <w:pPr>
        <w:widowControl w:val="0"/>
        <w:shd w:val="clear" w:color="auto" w:fill="FFFFFF"/>
        <w:spacing w:after="120" w:line="360" w:lineRule="auto"/>
        <w:jc w:val="both"/>
        <w:rPr>
          <w:rFonts w:ascii="Bookman Old Style" w:hAnsi="Bookman Old Style" w:cs="Calibri"/>
          <w:bCs/>
          <w:color w:val="222222"/>
          <w:sz w:val="24"/>
          <w:szCs w:val="24"/>
        </w:rPr>
      </w:pPr>
      <w:r>
        <w:rPr>
          <w:rFonts w:ascii="Bookman Old Style" w:hAnsi="Bookman Old Style" w:cs="Calibri"/>
          <w:bCs/>
          <w:color w:val="222222"/>
          <w:sz w:val="24"/>
          <w:szCs w:val="24"/>
        </w:rPr>
        <w:t>A ciò si aggiunga che in gli effetti del lungo periodo di crisi economico-sociale post 2008 si sono tradotti in un forte incremento della domanda di servizi ai Comuni, contestualmente alla riduzione delle risorse disponibili.</w:t>
      </w:r>
    </w:p>
    <w:p w14:paraId="4870CF1E" w14:textId="77777777" w:rsidR="00E30F20" w:rsidRDefault="00E30F20" w:rsidP="00301303">
      <w:pPr>
        <w:widowControl w:val="0"/>
        <w:shd w:val="clear" w:color="auto" w:fill="FFFFFF"/>
        <w:spacing w:after="120" w:line="360" w:lineRule="auto"/>
        <w:jc w:val="both"/>
        <w:rPr>
          <w:rFonts w:ascii="Bookman Old Style" w:hAnsi="Bookman Old Style" w:cs="Calibri"/>
          <w:bCs/>
          <w:color w:val="222222"/>
          <w:sz w:val="24"/>
          <w:szCs w:val="24"/>
        </w:rPr>
      </w:pPr>
    </w:p>
    <w:p w14:paraId="2AC694E1" w14:textId="26AFCEBD" w:rsidR="00E30F20" w:rsidRPr="0054409D" w:rsidRDefault="00273439" w:rsidP="0054409D">
      <w:pPr>
        <w:pStyle w:val="Paragrafoelenco"/>
        <w:widowControl w:val="0"/>
        <w:numPr>
          <w:ilvl w:val="0"/>
          <w:numId w:val="5"/>
        </w:numPr>
        <w:shd w:val="clear" w:color="auto" w:fill="FFFFFF"/>
        <w:spacing w:after="120" w:line="360" w:lineRule="auto"/>
        <w:jc w:val="both"/>
        <w:rPr>
          <w:rFonts w:ascii="Bookman Old Style" w:hAnsi="Bookman Old Style" w:cs="Calibri"/>
          <w:b/>
          <w:bCs/>
          <w:color w:val="222222"/>
          <w:sz w:val="24"/>
          <w:szCs w:val="24"/>
          <w:u w:val="single"/>
        </w:rPr>
      </w:pPr>
      <w:r w:rsidRPr="0054409D">
        <w:rPr>
          <w:rFonts w:ascii="Bookman Old Style" w:hAnsi="Bookman Old Style" w:cs="Calibri"/>
          <w:b/>
          <w:bCs/>
          <w:color w:val="222222"/>
          <w:sz w:val="24"/>
          <w:szCs w:val="24"/>
          <w:u w:val="single"/>
        </w:rPr>
        <w:t>Il superamento delle limitazioni al turn-over</w:t>
      </w:r>
      <w:r w:rsidR="0054409D" w:rsidRPr="0054409D">
        <w:rPr>
          <w:rFonts w:ascii="Bookman Old Style" w:hAnsi="Bookman Old Style" w:cs="Calibri"/>
          <w:b/>
          <w:bCs/>
          <w:color w:val="222222"/>
          <w:sz w:val="24"/>
          <w:szCs w:val="24"/>
          <w:u w:val="single"/>
        </w:rPr>
        <w:t xml:space="preserve"> e la sostenibilità finanziaria delle assunzioni</w:t>
      </w:r>
    </w:p>
    <w:p w14:paraId="02AEF124" w14:textId="333BB37C" w:rsidR="00CA65C8" w:rsidRDefault="00CA65C8" w:rsidP="00301303">
      <w:pPr>
        <w:widowControl w:val="0"/>
        <w:shd w:val="clear" w:color="auto" w:fill="FFFFFF"/>
        <w:spacing w:after="120" w:line="360" w:lineRule="auto"/>
        <w:jc w:val="both"/>
        <w:rPr>
          <w:rFonts w:ascii="Bookman Old Style" w:hAnsi="Bookman Old Style" w:cs="Calibri"/>
          <w:bCs/>
          <w:color w:val="222222"/>
          <w:sz w:val="24"/>
          <w:szCs w:val="24"/>
        </w:rPr>
      </w:pPr>
      <w:r>
        <w:rPr>
          <w:rFonts w:ascii="Bookman Old Style" w:hAnsi="Bookman Old Style" w:cs="Calibri"/>
          <w:bCs/>
          <w:color w:val="222222"/>
          <w:sz w:val="24"/>
          <w:szCs w:val="24"/>
        </w:rPr>
        <w:t xml:space="preserve">Solo dopo molti anni di continua riduzione del personale, </w:t>
      </w:r>
      <w:r w:rsidRPr="00051CD0">
        <w:rPr>
          <w:rFonts w:ascii="Bookman Old Style" w:hAnsi="Bookman Old Style" w:cs="Calibri"/>
          <w:b/>
          <w:bCs/>
          <w:color w:val="222222"/>
          <w:sz w:val="24"/>
          <w:szCs w:val="24"/>
          <w:u w:val="single"/>
        </w:rPr>
        <w:t xml:space="preserve">nel 2019 i Comuni hanno </w:t>
      </w:r>
      <w:r w:rsidR="00051CD0">
        <w:rPr>
          <w:rFonts w:ascii="Bookman Old Style" w:hAnsi="Bookman Old Style" w:cs="Calibri"/>
          <w:b/>
          <w:bCs/>
          <w:color w:val="222222"/>
          <w:sz w:val="24"/>
          <w:szCs w:val="24"/>
          <w:u w:val="single"/>
        </w:rPr>
        <w:t xml:space="preserve">riacquisito maggiore margine </w:t>
      </w:r>
      <w:proofErr w:type="spellStart"/>
      <w:r w:rsidR="00051CD0">
        <w:rPr>
          <w:rFonts w:ascii="Bookman Old Style" w:hAnsi="Bookman Old Style" w:cs="Calibri"/>
          <w:b/>
          <w:bCs/>
          <w:color w:val="222222"/>
          <w:sz w:val="24"/>
          <w:szCs w:val="24"/>
          <w:u w:val="single"/>
        </w:rPr>
        <w:t>assunzionale</w:t>
      </w:r>
      <w:proofErr w:type="spellEnd"/>
      <w:r w:rsidR="00051CD0">
        <w:rPr>
          <w:rFonts w:ascii="Bookman Old Style" w:hAnsi="Bookman Old Style" w:cs="Calibri"/>
          <w:b/>
          <w:bCs/>
          <w:color w:val="222222"/>
          <w:sz w:val="24"/>
          <w:szCs w:val="24"/>
          <w:u w:val="single"/>
        </w:rPr>
        <w:t>,</w:t>
      </w:r>
      <w:r w:rsidRPr="00051CD0">
        <w:rPr>
          <w:rFonts w:ascii="Bookman Old Style" w:hAnsi="Bookman Old Style" w:cs="Calibri"/>
          <w:b/>
          <w:bCs/>
          <w:color w:val="222222"/>
          <w:sz w:val="24"/>
          <w:szCs w:val="24"/>
          <w:u w:val="single"/>
        </w:rPr>
        <w:t xml:space="preserve"> </w:t>
      </w:r>
      <w:r w:rsidR="00051CD0" w:rsidRPr="00051CD0">
        <w:rPr>
          <w:rFonts w:ascii="Bookman Old Style" w:hAnsi="Bookman Old Style" w:cs="Calibri"/>
          <w:b/>
          <w:bCs/>
          <w:color w:val="222222"/>
          <w:sz w:val="24"/>
          <w:szCs w:val="24"/>
          <w:u w:val="single"/>
        </w:rPr>
        <w:t xml:space="preserve">non </w:t>
      </w:r>
      <w:r w:rsidR="00051CD0">
        <w:rPr>
          <w:rFonts w:ascii="Bookman Old Style" w:hAnsi="Bookman Old Style" w:cs="Calibri"/>
          <w:b/>
          <w:bCs/>
          <w:color w:val="222222"/>
          <w:sz w:val="24"/>
          <w:szCs w:val="24"/>
          <w:u w:val="single"/>
        </w:rPr>
        <w:t xml:space="preserve">attraverso </w:t>
      </w:r>
      <w:r w:rsidR="00051CD0" w:rsidRPr="00051CD0">
        <w:rPr>
          <w:rFonts w:ascii="Bookman Old Style" w:hAnsi="Bookman Old Style" w:cs="Calibri"/>
          <w:b/>
          <w:bCs/>
          <w:color w:val="222222"/>
          <w:sz w:val="24"/>
          <w:szCs w:val="24"/>
          <w:u w:val="single"/>
        </w:rPr>
        <w:t>la possibilità di effettuare nuove assunzioni</w:t>
      </w:r>
      <w:r w:rsidR="00051CD0">
        <w:rPr>
          <w:rFonts w:ascii="Bookman Old Style" w:hAnsi="Bookman Old Style" w:cs="Calibri"/>
          <w:b/>
          <w:bCs/>
          <w:color w:val="222222"/>
          <w:sz w:val="24"/>
          <w:szCs w:val="24"/>
          <w:u w:val="single"/>
        </w:rPr>
        <w:t xml:space="preserve"> e recuperare </w:t>
      </w:r>
      <w:r w:rsidR="00051CD0" w:rsidRPr="00051CD0">
        <w:rPr>
          <w:rFonts w:ascii="Bookman Old Style" w:hAnsi="Bookman Old Style" w:cs="Calibri"/>
          <w:b/>
          <w:bCs/>
          <w:color w:val="222222"/>
          <w:sz w:val="24"/>
          <w:szCs w:val="24"/>
          <w:u w:val="single"/>
        </w:rPr>
        <w:t xml:space="preserve">i tagli </w:t>
      </w:r>
      <w:r w:rsidR="00051CD0">
        <w:rPr>
          <w:rFonts w:ascii="Bookman Old Style" w:hAnsi="Bookman Old Style" w:cs="Calibri"/>
          <w:b/>
          <w:bCs/>
          <w:color w:val="222222"/>
          <w:sz w:val="24"/>
          <w:szCs w:val="24"/>
          <w:u w:val="single"/>
        </w:rPr>
        <w:t>subiti</w:t>
      </w:r>
      <w:r w:rsidR="00051CD0" w:rsidRPr="00051CD0">
        <w:rPr>
          <w:rFonts w:ascii="Bookman Old Style" w:hAnsi="Bookman Old Style" w:cs="Calibri"/>
          <w:b/>
          <w:bCs/>
          <w:color w:val="222222"/>
          <w:sz w:val="24"/>
          <w:szCs w:val="24"/>
          <w:u w:val="single"/>
        </w:rPr>
        <w:t xml:space="preserve"> negli anni, ma quantomeno di </w:t>
      </w:r>
      <w:r w:rsidRPr="00051CD0">
        <w:rPr>
          <w:rFonts w:ascii="Bookman Old Style" w:hAnsi="Bookman Old Style" w:cs="Calibri"/>
          <w:b/>
          <w:bCs/>
          <w:color w:val="222222"/>
          <w:sz w:val="24"/>
          <w:szCs w:val="24"/>
          <w:u w:val="single"/>
        </w:rPr>
        <w:t xml:space="preserve">sostituire integralmente </w:t>
      </w:r>
      <w:r w:rsidR="00051CD0" w:rsidRPr="00051CD0">
        <w:rPr>
          <w:rFonts w:ascii="Bookman Old Style" w:hAnsi="Bookman Old Style" w:cs="Calibri"/>
          <w:b/>
          <w:bCs/>
          <w:color w:val="222222"/>
          <w:sz w:val="24"/>
          <w:szCs w:val="24"/>
          <w:u w:val="single"/>
        </w:rPr>
        <w:t>le nuove cessazioni</w:t>
      </w:r>
      <w:r w:rsidR="00F86E91">
        <w:rPr>
          <w:rFonts w:ascii="Bookman Old Style" w:hAnsi="Bookman Old Style" w:cs="Calibri"/>
          <w:b/>
          <w:bCs/>
          <w:color w:val="222222"/>
          <w:sz w:val="24"/>
          <w:szCs w:val="24"/>
          <w:u w:val="single"/>
        </w:rPr>
        <w:t xml:space="preserve"> attraverso il </w:t>
      </w:r>
      <w:r w:rsidR="00383589">
        <w:rPr>
          <w:rFonts w:ascii="Bookman Old Style" w:hAnsi="Bookman Old Style" w:cs="Calibri"/>
          <w:b/>
          <w:bCs/>
          <w:color w:val="222222"/>
          <w:sz w:val="24"/>
          <w:szCs w:val="24"/>
          <w:u w:val="single"/>
        </w:rPr>
        <w:t>turn-over al 100%.</w:t>
      </w:r>
      <w:r w:rsidR="00383589">
        <w:rPr>
          <w:rFonts w:ascii="Bookman Old Style" w:hAnsi="Bookman Old Style" w:cs="Calibri"/>
          <w:bCs/>
          <w:color w:val="222222"/>
          <w:sz w:val="24"/>
          <w:szCs w:val="24"/>
        </w:rPr>
        <w:t xml:space="preserve"> Peraltro il triennio 2019-2021 sarà interessato dal</w:t>
      </w:r>
      <w:r>
        <w:rPr>
          <w:rFonts w:ascii="Bookman Old Style" w:hAnsi="Bookman Old Style" w:cs="Calibri"/>
          <w:bCs/>
          <w:color w:val="222222"/>
          <w:sz w:val="24"/>
          <w:szCs w:val="24"/>
        </w:rPr>
        <w:t xml:space="preserve">la sperimentazione del pensionamento anticipato con </w:t>
      </w:r>
      <w:r w:rsidRPr="00383589">
        <w:rPr>
          <w:rFonts w:ascii="Bookman Old Style" w:hAnsi="Bookman Old Style" w:cs="Calibri"/>
          <w:b/>
          <w:bCs/>
          <w:color w:val="222222"/>
          <w:sz w:val="24"/>
          <w:szCs w:val="24"/>
          <w:u w:val="single"/>
        </w:rPr>
        <w:t>quota 100</w:t>
      </w:r>
      <w:r>
        <w:rPr>
          <w:rFonts w:ascii="Bookman Old Style" w:hAnsi="Bookman Old Style" w:cs="Calibri"/>
          <w:bCs/>
          <w:color w:val="222222"/>
          <w:sz w:val="24"/>
          <w:szCs w:val="24"/>
        </w:rPr>
        <w:t xml:space="preserve">, opzione che </w:t>
      </w:r>
      <w:r w:rsidR="00383589">
        <w:rPr>
          <w:rFonts w:ascii="Bookman Old Style" w:hAnsi="Bookman Old Style" w:cs="Calibri"/>
          <w:bCs/>
          <w:color w:val="222222"/>
          <w:sz w:val="24"/>
          <w:szCs w:val="24"/>
        </w:rPr>
        <w:t>esercita</w:t>
      </w:r>
      <w:r>
        <w:rPr>
          <w:rFonts w:ascii="Bookman Old Style" w:hAnsi="Bookman Old Style" w:cs="Calibri"/>
          <w:bCs/>
          <w:color w:val="222222"/>
          <w:sz w:val="24"/>
          <w:szCs w:val="24"/>
        </w:rPr>
        <w:t xml:space="preserve"> una notevole attrattività </w:t>
      </w:r>
      <w:r w:rsidR="00383589">
        <w:rPr>
          <w:rFonts w:ascii="Bookman Old Style" w:hAnsi="Bookman Old Style" w:cs="Calibri"/>
          <w:bCs/>
          <w:color w:val="222222"/>
          <w:sz w:val="24"/>
          <w:szCs w:val="24"/>
        </w:rPr>
        <w:t xml:space="preserve">per il personale </w:t>
      </w:r>
      <w:r>
        <w:rPr>
          <w:rFonts w:ascii="Bookman Old Style" w:hAnsi="Bookman Old Style" w:cs="Calibri"/>
          <w:bCs/>
          <w:color w:val="222222"/>
          <w:sz w:val="24"/>
          <w:szCs w:val="24"/>
        </w:rPr>
        <w:t>del Comparto degli Enti locali</w:t>
      </w:r>
      <w:r w:rsidR="00383589">
        <w:rPr>
          <w:rFonts w:ascii="Bookman Old Style" w:hAnsi="Bookman Old Style" w:cs="Calibri"/>
          <w:bCs/>
          <w:color w:val="222222"/>
          <w:sz w:val="24"/>
          <w:szCs w:val="24"/>
        </w:rPr>
        <w:t>, e di cui allo stato non è possibile prevedere in modo puntuale gli effetti in termini di esodo e di eventuale emergenza nel reperimento di figure professionali infungibili</w:t>
      </w:r>
      <w:r>
        <w:rPr>
          <w:rFonts w:ascii="Bookman Old Style" w:hAnsi="Bookman Old Style" w:cs="Calibri"/>
          <w:bCs/>
          <w:color w:val="222222"/>
          <w:sz w:val="24"/>
          <w:szCs w:val="24"/>
        </w:rPr>
        <w:t>.</w:t>
      </w:r>
      <w:r w:rsidR="00383589">
        <w:rPr>
          <w:rFonts w:ascii="Bookman Old Style" w:hAnsi="Bookman Old Style" w:cs="Calibri"/>
          <w:bCs/>
          <w:color w:val="222222"/>
          <w:sz w:val="24"/>
          <w:szCs w:val="24"/>
        </w:rPr>
        <w:t xml:space="preserve"> </w:t>
      </w:r>
    </w:p>
    <w:p w14:paraId="6435AF92" w14:textId="34EB9551" w:rsidR="00301303" w:rsidRPr="00F71FCC" w:rsidRDefault="00CA65C8" w:rsidP="00301303">
      <w:pPr>
        <w:widowControl w:val="0"/>
        <w:shd w:val="clear" w:color="auto" w:fill="FFFFFF"/>
        <w:spacing w:after="120" w:line="360" w:lineRule="auto"/>
        <w:jc w:val="both"/>
        <w:rPr>
          <w:rFonts w:ascii="Bookman Old Style" w:hAnsi="Bookman Old Style" w:cs="Calibri"/>
          <w:bCs/>
          <w:color w:val="222222"/>
          <w:sz w:val="24"/>
          <w:szCs w:val="24"/>
        </w:rPr>
      </w:pPr>
      <w:r>
        <w:rPr>
          <w:rFonts w:ascii="Bookman Old Style" w:hAnsi="Bookman Old Style" w:cs="Calibri"/>
          <w:bCs/>
          <w:color w:val="222222"/>
          <w:sz w:val="24"/>
          <w:szCs w:val="24"/>
        </w:rPr>
        <w:t>In questo quadro ancora in via di assestamento è intervenuto il Decreto Crescita (D.L. n. 34/2019) che all’</w:t>
      </w:r>
      <w:r w:rsidR="00301303" w:rsidRPr="00F71FCC">
        <w:rPr>
          <w:rFonts w:ascii="Bookman Old Style" w:hAnsi="Bookman Old Style" w:cs="Calibri"/>
          <w:bCs/>
          <w:color w:val="222222"/>
          <w:sz w:val="24"/>
          <w:szCs w:val="24"/>
        </w:rPr>
        <w:t xml:space="preserve">articolo 33 </w:t>
      </w:r>
      <w:r w:rsidR="00051CD0">
        <w:rPr>
          <w:rFonts w:ascii="Bookman Old Style" w:hAnsi="Bookman Old Style" w:cs="Calibri"/>
          <w:bCs/>
          <w:color w:val="222222"/>
          <w:sz w:val="24"/>
          <w:szCs w:val="24"/>
        </w:rPr>
        <w:t xml:space="preserve">ha </w:t>
      </w:r>
      <w:proofErr w:type="gramStart"/>
      <w:r w:rsidR="00051CD0">
        <w:rPr>
          <w:rFonts w:ascii="Bookman Old Style" w:hAnsi="Bookman Old Style" w:cs="Calibri"/>
          <w:bCs/>
          <w:color w:val="222222"/>
          <w:sz w:val="24"/>
          <w:szCs w:val="24"/>
        </w:rPr>
        <w:t xml:space="preserve">introdotto </w:t>
      </w:r>
      <w:r w:rsidR="00301303" w:rsidRPr="00F71FCC">
        <w:rPr>
          <w:rFonts w:ascii="Bookman Old Style" w:hAnsi="Bookman Old Style" w:cs="Calibri"/>
          <w:bCs/>
          <w:color w:val="222222"/>
          <w:sz w:val="24"/>
          <w:szCs w:val="24"/>
        </w:rPr>
        <w:t xml:space="preserve"> una</w:t>
      </w:r>
      <w:proofErr w:type="gramEnd"/>
      <w:r w:rsidR="00301303" w:rsidRPr="00F71FCC">
        <w:rPr>
          <w:rFonts w:ascii="Bookman Old Style" w:hAnsi="Bookman Old Style" w:cs="Calibri"/>
          <w:bCs/>
          <w:color w:val="222222"/>
          <w:sz w:val="24"/>
          <w:szCs w:val="24"/>
        </w:rPr>
        <w:t xml:space="preserve"> modifica significativa del sistema di calcolo della capacità </w:t>
      </w:r>
      <w:proofErr w:type="spellStart"/>
      <w:r w:rsidR="00301303" w:rsidRPr="00F71FCC">
        <w:rPr>
          <w:rFonts w:ascii="Bookman Old Style" w:hAnsi="Bookman Old Style" w:cs="Calibri"/>
          <w:bCs/>
          <w:color w:val="222222"/>
          <w:sz w:val="24"/>
          <w:szCs w:val="24"/>
        </w:rPr>
        <w:t>assunzionale</w:t>
      </w:r>
      <w:proofErr w:type="spellEnd"/>
      <w:r w:rsidR="00301303" w:rsidRPr="00F71FCC">
        <w:rPr>
          <w:rFonts w:ascii="Bookman Old Style" w:hAnsi="Bookman Old Style" w:cs="Calibri"/>
          <w:bCs/>
          <w:color w:val="222222"/>
          <w:sz w:val="24"/>
          <w:szCs w:val="24"/>
        </w:rPr>
        <w:t xml:space="preserve"> </w:t>
      </w:r>
      <w:r w:rsidR="00051CD0">
        <w:rPr>
          <w:rFonts w:ascii="Bookman Old Style" w:hAnsi="Bookman Old Style" w:cs="Calibri"/>
          <w:bCs/>
          <w:color w:val="222222"/>
          <w:sz w:val="24"/>
          <w:szCs w:val="24"/>
        </w:rPr>
        <w:t>per i</w:t>
      </w:r>
      <w:r w:rsidR="00301303" w:rsidRPr="00F71FCC">
        <w:rPr>
          <w:rFonts w:ascii="Bookman Old Style" w:hAnsi="Bookman Old Style" w:cs="Calibri"/>
          <w:bCs/>
          <w:color w:val="222222"/>
          <w:sz w:val="24"/>
          <w:szCs w:val="24"/>
        </w:rPr>
        <w:t xml:space="preserve"> Comuni, prevedendo il </w:t>
      </w:r>
      <w:r w:rsidR="00301303" w:rsidRPr="00F71FCC">
        <w:rPr>
          <w:rFonts w:ascii="Bookman Old Style" w:hAnsi="Bookman Old Style" w:cs="Calibri"/>
          <w:bCs/>
          <w:color w:val="222222"/>
          <w:sz w:val="24"/>
          <w:szCs w:val="24"/>
        </w:rPr>
        <w:lastRenderedPageBreak/>
        <w:t>superamento delle attuali regole del turn-over e l’introduzione di un sistema basato sulla sostenibilità finanziaria della spesa di personale.</w:t>
      </w:r>
    </w:p>
    <w:p w14:paraId="33F1E1F2" w14:textId="70A0782C" w:rsidR="00301303" w:rsidRPr="00F71FCC" w:rsidRDefault="00CA65C8" w:rsidP="00301303">
      <w:pPr>
        <w:widowControl w:val="0"/>
        <w:shd w:val="clear" w:color="auto" w:fill="FFFFFF"/>
        <w:spacing w:after="120" w:line="360" w:lineRule="auto"/>
        <w:jc w:val="both"/>
        <w:rPr>
          <w:rFonts w:ascii="Bookman Old Style" w:hAnsi="Bookman Old Style" w:cs="Calibri"/>
          <w:bCs/>
          <w:color w:val="222222"/>
          <w:sz w:val="24"/>
          <w:szCs w:val="24"/>
        </w:rPr>
      </w:pPr>
      <w:r>
        <w:rPr>
          <w:rFonts w:ascii="Bookman Old Style" w:hAnsi="Bookman Old Style" w:cs="Calibri"/>
          <w:bCs/>
          <w:color w:val="222222"/>
          <w:sz w:val="24"/>
          <w:szCs w:val="24"/>
        </w:rPr>
        <w:t>A</w:t>
      </w:r>
      <w:r w:rsidR="00301303" w:rsidRPr="00F71FCC">
        <w:rPr>
          <w:rFonts w:ascii="Bookman Old Style" w:hAnsi="Bookman Old Style" w:cs="Calibri"/>
          <w:bCs/>
          <w:color w:val="222222"/>
          <w:sz w:val="24"/>
          <w:szCs w:val="24"/>
        </w:rPr>
        <w:t xml:space="preserve"> decorrere dalla data che verrà stabilita da</w:t>
      </w:r>
      <w:r w:rsidR="00301303">
        <w:rPr>
          <w:rFonts w:ascii="Bookman Old Style" w:hAnsi="Bookman Old Style" w:cs="Calibri"/>
          <w:bCs/>
          <w:color w:val="222222"/>
          <w:sz w:val="24"/>
          <w:szCs w:val="24"/>
        </w:rPr>
        <w:t>l</w:t>
      </w:r>
      <w:r w:rsidR="00301303" w:rsidRPr="00F71FCC">
        <w:rPr>
          <w:rFonts w:ascii="Bookman Old Style" w:hAnsi="Bookman Old Style" w:cs="Calibri"/>
          <w:bCs/>
          <w:color w:val="222222"/>
          <w:sz w:val="24"/>
          <w:szCs w:val="24"/>
        </w:rPr>
        <w:t xml:space="preserve"> </w:t>
      </w:r>
      <w:r w:rsidR="00301303">
        <w:rPr>
          <w:rFonts w:ascii="Bookman Old Style" w:hAnsi="Bookman Old Style" w:cs="Calibri"/>
          <w:bCs/>
          <w:color w:val="222222"/>
          <w:sz w:val="24"/>
          <w:szCs w:val="24"/>
        </w:rPr>
        <w:t>DM</w:t>
      </w:r>
      <w:r w:rsidR="00301303" w:rsidRPr="00F71FCC">
        <w:rPr>
          <w:rFonts w:ascii="Bookman Old Style" w:hAnsi="Bookman Old Style" w:cs="Calibri"/>
          <w:bCs/>
          <w:color w:val="222222"/>
          <w:sz w:val="24"/>
          <w:szCs w:val="24"/>
        </w:rPr>
        <w:t xml:space="preserve"> attuativo</w:t>
      </w:r>
      <w:r w:rsidR="00301303" w:rsidRPr="00484EB9">
        <w:rPr>
          <w:rFonts w:ascii="Bookman Old Style" w:hAnsi="Bookman Old Style" w:cs="Calibri"/>
          <w:b/>
          <w:color w:val="222222"/>
          <w:sz w:val="24"/>
          <w:szCs w:val="24"/>
          <w:u w:val="single"/>
        </w:rPr>
        <w:t>, i Comuni potranno effettuare assunzioni di personale a tempo indeterminato, nel limite di una spesa complessiva non superiore ad un valore soglia,</w:t>
      </w:r>
      <w:r w:rsidR="00301303" w:rsidRPr="00EB498D">
        <w:rPr>
          <w:rFonts w:ascii="Bookman Old Style" w:hAnsi="Bookman Old Style" w:cs="Calibri"/>
          <w:b/>
          <w:color w:val="222222"/>
          <w:sz w:val="24"/>
          <w:szCs w:val="24"/>
          <w:u w:val="single"/>
        </w:rPr>
        <w:t xml:space="preserve"> definito come percentuale, differenziata per fascia demografica, </w:t>
      </w:r>
      <w:r w:rsidR="00301303">
        <w:rPr>
          <w:rFonts w:ascii="Bookman Old Style" w:hAnsi="Bookman Old Style" w:cs="Calibri"/>
          <w:b/>
          <w:color w:val="222222"/>
          <w:sz w:val="24"/>
          <w:szCs w:val="24"/>
          <w:u w:val="single"/>
        </w:rPr>
        <w:t>della media delle entrate correnti relative agli ultimi tre rendiconti approvati</w:t>
      </w:r>
      <w:r w:rsidR="00383589">
        <w:rPr>
          <w:rFonts w:ascii="Bookman Old Style" w:hAnsi="Bookman Old Style" w:cs="Calibri"/>
          <w:bCs/>
          <w:color w:val="222222"/>
          <w:sz w:val="24"/>
          <w:szCs w:val="24"/>
        </w:rPr>
        <w:t xml:space="preserve">, considerate </w:t>
      </w:r>
      <w:r w:rsidR="00301303" w:rsidRPr="00F71FCC">
        <w:rPr>
          <w:rFonts w:ascii="Bookman Old Style" w:hAnsi="Bookman Old Style" w:cs="Calibri"/>
          <w:bCs/>
          <w:color w:val="222222"/>
          <w:sz w:val="24"/>
          <w:szCs w:val="24"/>
        </w:rPr>
        <w:t>al netto del fondo crediti di dubbia esigibilità stanziato in bilancio di previsione</w:t>
      </w:r>
      <w:r w:rsidR="00A0267E">
        <w:rPr>
          <w:rFonts w:ascii="Bookman Old Style" w:hAnsi="Bookman Old Style" w:cs="Calibri"/>
          <w:bCs/>
          <w:color w:val="222222"/>
          <w:sz w:val="24"/>
          <w:szCs w:val="24"/>
        </w:rPr>
        <w:t>, e le rispetto di una percentuale massima di incremento della spesa di personale</w:t>
      </w:r>
      <w:r w:rsidR="00301303" w:rsidRPr="00F71FCC">
        <w:rPr>
          <w:rFonts w:ascii="Bookman Old Style" w:hAnsi="Bookman Old Style" w:cs="Calibri"/>
          <w:bCs/>
          <w:color w:val="222222"/>
          <w:sz w:val="24"/>
          <w:szCs w:val="24"/>
        </w:rPr>
        <w:t>.</w:t>
      </w:r>
      <w:r w:rsidR="00301303">
        <w:rPr>
          <w:rFonts w:ascii="Bookman Old Style" w:hAnsi="Bookman Old Style" w:cs="Calibri"/>
          <w:bCs/>
          <w:color w:val="222222"/>
          <w:sz w:val="24"/>
          <w:szCs w:val="24"/>
        </w:rPr>
        <w:t xml:space="preserve"> </w:t>
      </w:r>
    </w:p>
    <w:p w14:paraId="6175D5CE" w14:textId="572F2BEA" w:rsidR="00301303" w:rsidRPr="00F71FCC" w:rsidRDefault="00301303" w:rsidP="00301303">
      <w:pPr>
        <w:widowControl w:val="0"/>
        <w:shd w:val="clear" w:color="auto" w:fill="FFFFFF"/>
        <w:spacing w:after="120" w:line="360" w:lineRule="auto"/>
        <w:jc w:val="both"/>
        <w:rPr>
          <w:rFonts w:ascii="Bookman Old Style" w:hAnsi="Bookman Old Style" w:cs="Calibri"/>
          <w:bCs/>
          <w:color w:val="222222"/>
          <w:sz w:val="24"/>
          <w:szCs w:val="24"/>
        </w:rPr>
      </w:pPr>
      <w:r w:rsidRPr="00F71FCC">
        <w:rPr>
          <w:rFonts w:ascii="Bookman Old Style" w:hAnsi="Bookman Old Style" w:cs="Calibri"/>
          <w:bCs/>
          <w:color w:val="222222"/>
          <w:sz w:val="24"/>
          <w:szCs w:val="24"/>
        </w:rPr>
        <w:t xml:space="preserve">I valori soglia </w:t>
      </w:r>
      <w:r w:rsidR="00A0267E">
        <w:rPr>
          <w:rFonts w:ascii="Bookman Old Style" w:hAnsi="Bookman Old Style" w:cs="Calibri"/>
          <w:bCs/>
          <w:color w:val="222222"/>
          <w:sz w:val="24"/>
          <w:szCs w:val="24"/>
        </w:rPr>
        <w:t xml:space="preserve">e le percentuali massime di incremento </w:t>
      </w:r>
      <w:r w:rsidR="00051CD0">
        <w:rPr>
          <w:rFonts w:ascii="Bookman Old Style" w:hAnsi="Bookman Old Style" w:cs="Calibri"/>
          <w:bCs/>
          <w:color w:val="222222"/>
          <w:sz w:val="24"/>
          <w:szCs w:val="24"/>
        </w:rPr>
        <w:t>devono essere</w:t>
      </w:r>
      <w:r w:rsidRPr="00F71FCC">
        <w:rPr>
          <w:rFonts w:ascii="Bookman Old Style" w:hAnsi="Bookman Old Style" w:cs="Calibri"/>
          <w:bCs/>
          <w:color w:val="222222"/>
          <w:sz w:val="24"/>
          <w:szCs w:val="24"/>
        </w:rPr>
        <w:t xml:space="preserve"> definiti </w:t>
      </w:r>
      <w:r>
        <w:rPr>
          <w:rFonts w:ascii="Bookman Old Style" w:hAnsi="Bookman Old Style" w:cs="Calibri"/>
          <w:bCs/>
          <w:color w:val="222222"/>
          <w:sz w:val="24"/>
          <w:szCs w:val="24"/>
        </w:rPr>
        <w:t>dal</w:t>
      </w:r>
      <w:r w:rsidRPr="00F71FCC">
        <w:rPr>
          <w:rFonts w:ascii="Bookman Old Style" w:hAnsi="Bookman Old Style" w:cs="Calibri"/>
          <w:bCs/>
          <w:color w:val="222222"/>
          <w:sz w:val="24"/>
          <w:szCs w:val="24"/>
        </w:rPr>
        <w:t xml:space="preserve"> Decreto ministeriale</w:t>
      </w:r>
      <w:r>
        <w:rPr>
          <w:rFonts w:ascii="Bookman Old Style" w:hAnsi="Bookman Old Style" w:cs="Calibri"/>
          <w:bCs/>
          <w:color w:val="222222"/>
          <w:sz w:val="24"/>
          <w:szCs w:val="24"/>
        </w:rPr>
        <w:t xml:space="preserve"> attuativo</w:t>
      </w:r>
      <w:r w:rsidRPr="00F71FCC">
        <w:rPr>
          <w:rFonts w:ascii="Bookman Old Style" w:hAnsi="Bookman Old Style" w:cs="Calibri"/>
          <w:bCs/>
          <w:color w:val="222222"/>
          <w:sz w:val="24"/>
          <w:szCs w:val="24"/>
        </w:rPr>
        <w:t>, previa intesa in Conferenza Stato-Città ed autonomie locali. La norma impone inoltre di adeguare, in aumento o in diminuzione, le risorse del fondo per la contrattazione decentrata e quelle destinate a remunerare gli incarichi di posizione organizzativa, al fine di garantirne l’invarianza del valore medio pro-capite.</w:t>
      </w:r>
    </w:p>
    <w:p w14:paraId="659A5AB7" w14:textId="631FCE81" w:rsidR="00051CD0" w:rsidRDefault="00051CD0" w:rsidP="00301303">
      <w:pPr>
        <w:widowControl w:val="0"/>
        <w:shd w:val="clear" w:color="auto" w:fill="FFFFFF"/>
        <w:spacing w:after="120" w:line="360" w:lineRule="auto"/>
        <w:jc w:val="both"/>
        <w:rPr>
          <w:rFonts w:ascii="Bookman Old Style" w:hAnsi="Bookman Old Style" w:cs="Calibri"/>
          <w:bCs/>
          <w:color w:val="222222"/>
          <w:sz w:val="24"/>
          <w:szCs w:val="24"/>
        </w:rPr>
      </w:pPr>
      <w:r>
        <w:rPr>
          <w:rFonts w:ascii="Bookman Old Style" w:hAnsi="Bookman Old Style" w:cs="Calibri"/>
          <w:bCs/>
          <w:color w:val="222222"/>
          <w:sz w:val="24"/>
          <w:szCs w:val="24"/>
        </w:rPr>
        <w:t xml:space="preserve">Si tratta nelle intenzioni del legislatore di una misura che ha il dichiarato obiettivo </w:t>
      </w:r>
      <w:proofErr w:type="gramStart"/>
      <w:r>
        <w:rPr>
          <w:rFonts w:ascii="Bookman Old Style" w:hAnsi="Bookman Old Style" w:cs="Calibri"/>
          <w:bCs/>
          <w:color w:val="222222"/>
          <w:sz w:val="24"/>
          <w:szCs w:val="24"/>
        </w:rPr>
        <w:t>dei semplificare</w:t>
      </w:r>
      <w:proofErr w:type="gramEnd"/>
      <w:r>
        <w:rPr>
          <w:rFonts w:ascii="Bookman Old Style" w:hAnsi="Bookman Old Style" w:cs="Calibri"/>
          <w:bCs/>
          <w:color w:val="222222"/>
          <w:sz w:val="24"/>
          <w:szCs w:val="24"/>
        </w:rPr>
        <w:t xml:space="preserve"> il sistema delle regole che governano la quantificazione delle facoltà </w:t>
      </w:r>
      <w:proofErr w:type="spellStart"/>
      <w:r>
        <w:rPr>
          <w:rFonts w:ascii="Bookman Old Style" w:hAnsi="Bookman Old Style" w:cs="Calibri"/>
          <w:bCs/>
          <w:color w:val="222222"/>
          <w:sz w:val="24"/>
          <w:szCs w:val="24"/>
        </w:rPr>
        <w:t>assunzionali</w:t>
      </w:r>
      <w:proofErr w:type="spellEnd"/>
      <w:r>
        <w:rPr>
          <w:rFonts w:ascii="Bookman Old Style" w:hAnsi="Bookman Old Style" w:cs="Calibri"/>
          <w:bCs/>
          <w:color w:val="222222"/>
          <w:sz w:val="24"/>
          <w:szCs w:val="24"/>
        </w:rPr>
        <w:t xml:space="preserve"> dei Comuni e di consentire un rinnovamento e rafforzamento degli organici, compatibile con i parametri di sostenibilità finanziaria di ciascuna amministrazione.</w:t>
      </w:r>
    </w:p>
    <w:p w14:paraId="17523274" w14:textId="77D96132" w:rsidR="00F86E91" w:rsidRDefault="00F86E91" w:rsidP="00301303">
      <w:pPr>
        <w:widowControl w:val="0"/>
        <w:shd w:val="clear" w:color="auto" w:fill="FFFFFF"/>
        <w:spacing w:after="120" w:line="360" w:lineRule="auto"/>
        <w:jc w:val="both"/>
        <w:rPr>
          <w:rFonts w:ascii="Bookman Old Style" w:hAnsi="Bookman Old Style" w:cs="Calibri"/>
          <w:b/>
          <w:bCs/>
          <w:color w:val="222222"/>
          <w:sz w:val="24"/>
          <w:szCs w:val="24"/>
          <w:u w:val="single"/>
        </w:rPr>
      </w:pPr>
      <w:proofErr w:type="gramStart"/>
      <w:r w:rsidRPr="00F86E91">
        <w:rPr>
          <w:rFonts w:ascii="Bookman Old Style" w:hAnsi="Bookman Old Style" w:cs="Calibri"/>
          <w:b/>
          <w:bCs/>
          <w:color w:val="222222"/>
          <w:sz w:val="24"/>
          <w:szCs w:val="24"/>
          <w:u w:val="single"/>
        </w:rPr>
        <w:t>E’</w:t>
      </w:r>
      <w:proofErr w:type="gramEnd"/>
      <w:r w:rsidRPr="00F86E91">
        <w:rPr>
          <w:rFonts w:ascii="Bookman Old Style" w:hAnsi="Bookman Old Style" w:cs="Calibri"/>
          <w:b/>
          <w:bCs/>
          <w:color w:val="222222"/>
          <w:sz w:val="24"/>
          <w:szCs w:val="24"/>
          <w:u w:val="single"/>
        </w:rPr>
        <w:t xml:space="preserve"> di tutta evidenza che, a fronte di una </w:t>
      </w:r>
      <w:r w:rsidR="00A0267E">
        <w:rPr>
          <w:rFonts w:ascii="Bookman Old Style" w:hAnsi="Bookman Old Style" w:cs="Calibri"/>
          <w:b/>
          <w:bCs/>
          <w:color w:val="222222"/>
          <w:sz w:val="24"/>
          <w:szCs w:val="24"/>
          <w:u w:val="single"/>
        </w:rPr>
        <w:t>contrazione degli organici</w:t>
      </w:r>
      <w:r w:rsidRPr="00F86E91">
        <w:rPr>
          <w:rFonts w:ascii="Bookman Old Style" w:hAnsi="Bookman Old Style" w:cs="Calibri"/>
          <w:b/>
          <w:bCs/>
          <w:color w:val="222222"/>
          <w:sz w:val="24"/>
          <w:szCs w:val="24"/>
          <w:u w:val="single"/>
        </w:rPr>
        <w:t xml:space="preserve"> </w:t>
      </w:r>
      <w:r w:rsidR="002118F7">
        <w:rPr>
          <w:rFonts w:ascii="Bookman Old Style" w:hAnsi="Bookman Old Style" w:cs="Calibri"/>
          <w:b/>
          <w:bCs/>
          <w:color w:val="222222"/>
          <w:sz w:val="24"/>
          <w:szCs w:val="24"/>
          <w:u w:val="single"/>
        </w:rPr>
        <w:t xml:space="preserve">che nel comparto ha pesato </w:t>
      </w:r>
      <w:r w:rsidRPr="00F86E91">
        <w:rPr>
          <w:rFonts w:ascii="Bookman Old Style" w:hAnsi="Bookman Old Style" w:cs="Calibri"/>
          <w:b/>
          <w:bCs/>
          <w:color w:val="222222"/>
          <w:sz w:val="24"/>
          <w:szCs w:val="24"/>
          <w:u w:val="single"/>
        </w:rPr>
        <w:t xml:space="preserve">complessivamente nei termini del 20% </w:t>
      </w:r>
      <w:r w:rsidR="002118F7">
        <w:rPr>
          <w:rFonts w:ascii="Bookman Old Style" w:hAnsi="Bookman Old Style" w:cs="Calibri"/>
          <w:b/>
          <w:bCs/>
          <w:color w:val="222222"/>
          <w:sz w:val="24"/>
          <w:szCs w:val="24"/>
          <w:u w:val="single"/>
        </w:rPr>
        <w:t>di riduzione delle unità di personale</w:t>
      </w:r>
      <w:r w:rsidRPr="00F86E91">
        <w:rPr>
          <w:rFonts w:ascii="Bookman Old Style" w:hAnsi="Bookman Old Style" w:cs="Calibri"/>
          <w:b/>
          <w:bCs/>
          <w:color w:val="222222"/>
          <w:sz w:val="24"/>
          <w:szCs w:val="24"/>
          <w:u w:val="single"/>
        </w:rPr>
        <w:t xml:space="preserve">, </w:t>
      </w:r>
      <w:r w:rsidR="00A0267E">
        <w:rPr>
          <w:rFonts w:ascii="Bookman Old Style" w:hAnsi="Bookman Old Style" w:cs="Calibri"/>
          <w:b/>
          <w:bCs/>
          <w:color w:val="222222"/>
          <w:sz w:val="24"/>
          <w:szCs w:val="24"/>
          <w:u w:val="single"/>
        </w:rPr>
        <w:t>la richiesta dell’ANCI è</w:t>
      </w:r>
      <w:r>
        <w:rPr>
          <w:rFonts w:ascii="Bookman Old Style" w:hAnsi="Bookman Old Style" w:cs="Calibri"/>
          <w:b/>
          <w:bCs/>
          <w:color w:val="222222"/>
          <w:sz w:val="24"/>
          <w:szCs w:val="24"/>
          <w:u w:val="single"/>
        </w:rPr>
        <w:t>:</w:t>
      </w:r>
    </w:p>
    <w:p w14:paraId="20A95923" w14:textId="1FFB65D1" w:rsidR="00F86E91" w:rsidRDefault="00F86E91" w:rsidP="00F86E91">
      <w:pPr>
        <w:pStyle w:val="Paragrafoelenco"/>
        <w:widowControl w:val="0"/>
        <w:numPr>
          <w:ilvl w:val="0"/>
          <w:numId w:val="4"/>
        </w:numPr>
        <w:shd w:val="clear" w:color="auto" w:fill="FFFFFF"/>
        <w:spacing w:after="120" w:line="360" w:lineRule="auto"/>
        <w:jc w:val="both"/>
        <w:rPr>
          <w:rFonts w:ascii="Bookman Old Style" w:hAnsi="Bookman Old Style" w:cs="Calibri"/>
          <w:b/>
          <w:bCs/>
          <w:color w:val="222222"/>
          <w:sz w:val="24"/>
          <w:szCs w:val="24"/>
          <w:u w:val="single"/>
        </w:rPr>
      </w:pPr>
      <w:r>
        <w:rPr>
          <w:rFonts w:ascii="Bookman Old Style" w:hAnsi="Bookman Old Style" w:cs="Calibri"/>
          <w:b/>
          <w:bCs/>
          <w:color w:val="222222"/>
          <w:sz w:val="24"/>
          <w:szCs w:val="24"/>
          <w:u w:val="single"/>
        </w:rPr>
        <w:t>il “valore soglia”</w:t>
      </w:r>
      <w:r w:rsidR="00A0267E">
        <w:rPr>
          <w:rFonts w:ascii="Bookman Old Style" w:hAnsi="Bookman Old Style" w:cs="Calibri"/>
          <w:b/>
          <w:bCs/>
          <w:color w:val="222222"/>
          <w:sz w:val="24"/>
          <w:szCs w:val="24"/>
          <w:u w:val="single"/>
        </w:rPr>
        <w:t>,</w:t>
      </w:r>
      <w:r>
        <w:rPr>
          <w:rFonts w:ascii="Bookman Old Style" w:hAnsi="Bookman Old Style" w:cs="Calibri"/>
          <w:b/>
          <w:bCs/>
          <w:color w:val="222222"/>
          <w:sz w:val="24"/>
          <w:szCs w:val="24"/>
          <w:u w:val="single"/>
        </w:rPr>
        <w:t xml:space="preserve"> abilitante all’effettuazione di nuove assunzioni di personale</w:t>
      </w:r>
      <w:r w:rsidR="00A0267E">
        <w:rPr>
          <w:rFonts w:ascii="Bookman Old Style" w:hAnsi="Bookman Old Style" w:cs="Calibri"/>
          <w:b/>
          <w:bCs/>
          <w:color w:val="222222"/>
          <w:sz w:val="24"/>
          <w:szCs w:val="24"/>
          <w:u w:val="single"/>
        </w:rPr>
        <w:t>, dovrà essere determinato dal Decreto</w:t>
      </w:r>
      <w:r>
        <w:rPr>
          <w:rFonts w:ascii="Bookman Old Style" w:hAnsi="Bookman Old Style" w:cs="Calibri"/>
          <w:b/>
          <w:bCs/>
          <w:color w:val="222222"/>
          <w:sz w:val="24"/>
          <w:szCs w:val="24"/>
          <w:u w:val="single"/>
        </w:rPr>
        <w:t xml:space="preserve"> incrementando in modo significativo (almeno dell’8%) il valore medio per fascia demografica</w:t>
      </w:r>
      <w:r w:rsidR="00D238EA">
        <w:rPr>
          <w:rFonts w:ascii="Bookman Old Style" w:hAnsi="Bookman Old Style" w:cs="Calibri"/>
          <w:b/>
          <w:bCs/>
          <w:color w:val="222222"/>
          <w:sz w:val="24"/>
          <w:szCs w:val="24"/>
          <w:u w:val="single"/>
        </w:rPr>
        <w:t>, percentuale che non copre neanche la metà della riduzione subita dal comparto</w:t>
      </w:r>
      <w:r>
        <w:rPr>
          <w:rFonts w:ascii="Bookman Old Style" w:hAnsi="Bookman Old Style" w:cs="Calibri"/>
          <w:b/>
          <w:bCs/>
          <w:color w:val="222222"/>
          <w:sz w:val="24"/>
          <w:szCs w:val="24"/>
          <w:u w:val="single"/>
        </w:rPr>
        <w:t>;</w:t>
      </w:r>
    </w:p>
    <w:p w14:paraId="2B3D20CB" w14:textId="53D1501E" w:rsidR="00051CD0" w:rsidRDefault="00D238EA" w:rsidP="00F86E91">
      <w:pPr>
        <w:pStyle w:val="Paragrafoelenco"/>
        <w:widowControl w:val="0"/>
        <w:numPr>
          <w:ilvl w:val="0"/>
          <w:numId w:val="4"/>
        </w:numPr>
        <w:shd w:val="clear" w:color="auto" w:fill="FFFFFF"/>
        <w:spacing w:after="120" w:line="360" w:lineRule="auto"/>
        <w:jc w:val="both"/>
        <w:rPr>
          <w:rFonts w:ascii="Bookman Old Style" w:hAnsi="Bookman Old Style" w:cs="Calibri"/>
          <w:b/>
          <w:bCs/>
          <w:color w:val="222222"/>
          <w:sz w:val="24"/>
          <w:szCs w:val="24"/>
          <w:u w:val="single"/>
        </w:rPr>
      </w:pPr>
      <w:r>
        <w:rPr>
          <w:rFonts w:ascii="Bookman Old Style" w:hAnsi="Bookman Old Style" w:cs="Calibri"/>
          <w:b/>
          <w:bCs/>
          <w:color w:val="222222"/>
          <w:sz w:val="24"/>
          <w:szCs w:val="24"/>
          <w:u w:val="single"/>
        </w:rPr>
        <w:t xml:space="preserve">in fase di prima applicazione e per un congruo periodo transitorio </w:t>
      </w:r>
      <w:r w:rsidR="00F86E91">
        <w:rPr>
          <w:rFonts w:ascii="Bookman Old Style" w:hAnsi="Bookman Old Style" w:cs="Calibri"/>
          <w:b/>
          <w:bCs/>
          <w:color w:val="222222"/>
          <w:sz w:val="24"/>
          <w:szCs w:val="24"/>
          <w:u w:val="single"/>
        </w:rPr>
        <w:t xml:space="preserve">non deve essere messa in discussione </w:t>
      </w:r>
      <w:r>
        <w:rPr>
          <w:rFonts w:ascii="Bookman Old Style" w:hAnsi="Bookman Old Style" w:cs="Calibri"/>
          <w:b/>
          <w:bCs/>
          <w:color w:val="222222"/>
          <w:sz w:val="24"/>
          <w:szCs w:val="24"/>
          <w:u w:val="single"/>
        </w:rPr>
        <w:t xml:space="preserve">per nessun Comune </w:t>
      </w:r>
      <w:r w:rsidR="00F86E91">
        <w:rPr>
          <w:rFonts w:ascii="Bookman Old Style" w:hAnsi="Bookman Old Style" w:cs="Calibri"/>
          <w:b/>
          <w:bCs/>
          <w:color w:val="222222"/>
          <w:sz w:val="24"/>
          <w:szCs w:val="24"/>
          <w:u w:val="single"/>
        </w:rPr>
        <w:t xml:space="preserve">la “conquista” del 100% del turn-over, che, si ribadisce, non </w:t>
      </w:r>
      <w:r w:rsidR="002118F7">
        <w:rPr>
          <w:rFonts w:ascii="Bookman Old Style" w:hAnsi="Bookman Old Style" w:cs="Calibri"/>
          <w:b/>
          <w:bCs/>
          <w:color w:val="222222"/>
          <w:sz w:val="24"/>
          <w:szCs w:val="24"/>
          <w:u w:val="single"/>
        </w:rPr>
        <w:t>si traduce in</w:t>
      </w:r>
      <w:r w:rsidR="00F86E91">
        <w:rPr>
          <w:rFonts w:ascii="Bookman Old Style" w:hAnsi="Bookman Old Style" w:cs="Calibri"/>
          <w:b/>
          <w:bCs/>
          <w:color w:val="222222"/>
          <w:sz w:val="24"/>
          <w:szCs w:val="24"/>
          <w:u w:val="single"/>
        </w:rPr>
        <w:t xml:space="preserve"> </w:t>
      </w:r>
      <w:r>
        <w:rPr>
          <w:rFonts w:ascii="Bookman Old Style" w:hAnsi="Bookman Old Style" w:cs="Calibri"/>
          <w:b/>
          <w:bCs/>
          <w:color w:val="222222"/>
          <w:sz w:val="24"/>
          <w:szCs w:val="24"/>
          <w:u w:val="single"/>
        </w:rPr>
        <w:t>una</w:t>
      </w:r>
      <w:r w:rsidR="00F86E91">
        <w:rPr>
          <w:rFonts w:ascii="Bookman Old Style" w:hAnsi="Bookman Old Style" w:cs="Calibri"/>
          <w:b/>
          <w:bCs/>
          <w:color w:val="222222"/>
          <w:sz w:val="24"/>
          <w:szCs w:val="24"/>
          <w:u w:val="single"/>
        </w:rPr>
        <w:t xml:space="preserve"> crescita degli organici, ma semplicemente possibilità di procedere alla </w:t>
      </w:r>
      <w:r w:rsidR="00F86E91">
        <w:rPr>
          <w:rFonts w:ascii="Bookman Old Style" w:hAnsi="Bookman Old Style" w:cs="Calibri"/>
          <w:b/>
          <w:bCs/>
          <w:color w:val="222222"/>
          <w:sz w:val="24"/>
          <w:szCs w:val="24"/>
          <w:u w:val="single"/>
        </w:rPr>
        <w:lastRenderedPageBreak/>
        <w:t xml:space="preserve">sostituzione del personale </w:t>
      </w:r>
      <w:r w:rsidR="002118F7">
        <w:rPr>
          <w:rFonts w:ascii="Bookman Old Style" w:hAnsi="Bookman Old Style" w:cs="Calibri"/>
          <w:b/>
          <w:bCs/>
          <w:color w:val="222222"/>
          <w:sz w:val="24"/>
          <w:szCs w:val="24"/>
          <w:u w:val="single"/>
        </w:rPr>
        <w:t xml:space="preserve">anziano </w:t>
      </w:r>
      <w:r w:rsidR="00F86E91">
        <w:rPr>
          <w:rFonts w:ascii="Bookman Old Style" w:hAnsi="Bookman Old Style" w:cs="Calibri"/>
          <w:b/>
          <w:bCs/>
          <w:color w:val="222222"/>
          <w:sz w:val="24"/>
          <w:szCs w:val="24"/>
          <w:u w:val="single"/>
        </w:rPr>
        <w:t>che va in pensione.</w:t>
      </w:r>
    </w:p>
    <w:p w14:paraId="24C915E0" w14:textId="77777777" w:rsidR="00F86E91" w:rsidRPr="00F86E91" w:rsidRDefault="00F86E91" w:rsidP="00F86E91">
      <w:pPr>
        <w:widowControl w:val="0"/>
        <w:shd w:val="clear" w:color="auto" w:fill="FFFFFF"/>
        <w:spacing w:after="120" w:line="360" w:lineRule="auto"/>
        <w:jc w:val="both"/>
        <w:rPr>
          <w:rFonts w:ascii="Bookman Old Style" w:hAnsi="Bookman Old Style" w:cs="Calibri"/>
          <w:b/>
          <w:bCs/>
          <w:color w:val="222222"/>
          <w:sz w:val="24"/>
          <w:szCs w:val="24"/>
          <w:u w:val="single"/>
        </w:rPr>
      </w:pPr>
    </w:p>
    <w:p w14:paraId="6D96FDB6" w14:textId="4A04CEF9" w:rsidR="00051CD0" w:rsidRPr="0054409D" w:rsidRDefault="00F86E91" w:rsidP="0054409D">
      <w:pPr>
        <w:pStyle w:val="Paragrafoelenco"/>
        <w:widowControl w:val="0"/>
        <w:numPr>
          <w:ilvl w:val="0"/>
          <w:numId w:val="5"/>
        </w:numPr>
        <w:shd w:val="clear" w:color="auto" w:fill="FFFFFF"/>
        <w:spacing w:after="120" w:line="360" w:lineRule="auto"/>
        <w:jc w:val="both"/>
        <w:rPr>
          <w:rFonts w:ascii="Bookman Old Style" w:hAnsi="Bookman Old Style" w:cs="Calibri"/>
          <w:b/>
          <w:bCs/>
          <w:color w:val="222222"/>
          <w:sz w:val="24"/>
          <w:szCs w:val="24"/>
          <w:u w:val="single"/>
        </w:rPr>
      </w:pPr>
      <w:r w:rsidRPr="0054409D">
        <w:rPr>
          <w:rFonts w:ascii="Bookman Old Style" w:hAnsi="Bookman Old Style" w:cs="Calibri"/>
          <w:b/>
          <w:bCs/>
          <w:color w:val="222222"/>
          <w:sz w:val="24"/>
          <w:szCs w:val="24"/>
          <w:u w:val="single"/>
        </w:rPr>
        <w:t>Le richieste dell’ANCI per il Decreto attuativo</w:t>
      </w:r>
    </w:p>
    <w:p w14:paraId="4F0F0BD4" w14:textId="0BC839F7" w:rsidR="0054409D" w:rsidRDefault="0054409D" w:rsidP="0054409D">
      <w:pPr>
        <w:widowControl w:val="0"/>
        <w:shd w:val="clear" w:color="auto" w:fill="FFFFFF"/>
        <w:spacing w:after="120" w:line="360" w:lineRule="auto"/>
        <w:jc w:val="both"/>
        <w:rPr>
          <w:rFonts w:ascii="Bookman Old Style" w:hAnsi="Bookman Old Style" w:cs="Calibri"/>
          <w:bCs/>
          <w:color w:val="222222"/>
          <w:sz w:val="24"/>
          <w:szCs w:val="24"/>
        </w:rPr>
      </w:pPr>
      <w:r>
        <w:rPr>
          <w:rFonts w:ascii="Bookman Old Style" w:hAnsi="Bookman Old Style" w:cs="Calibri"/>
          <w:bCs/>
          <w:color w:val="222222"/>
          <w:sz w:val="24"/>
          <w:szCs w:val="24"/>
        </w:rPr>
        <w:t>L’ANCI ritiene che il Decreto attuativo debba individuare, nel rispetto degli ambiti consentiti dalla norma, soluzioni operative tali da ridurre al minimo le incertezze interpretative che potrebbero derivare dalla formulazione del dato normativo.</w:t>
      </w:r>
    </w:p>
    <w:p w14:paraId="66F2CDA6" w14:textId="08AAA5C7" w:rsidR="0054409D" w:rsidRDefault="0054409D" w:rsidP="0054409D">
      <w:pPr>
        <w:widowControl w:val="0"/>
        <w:shd w:val="clear" w:color="auto" w:fill="FFFFFF"/>
        <w:spacing w:after="120" w:line="360" w:lineRule="auto"/>
        <w:jc w:val="both"/>
        <w:rPr>
          <w:rFonts w:ascii="Bookman Old Style" w:hAnsi="Bookman Old Style" w:cs="Calibri"/>
          <w:bCs/>
          <w:color w:val="222222"/>
          <w:sz w:val="24"/>
          <w:szCs w:val="24"/>
        </w:rPr>
      </w:pPr>
      <w:r>
        <w:rPr>
          <w:rFonts w:ascii="Bookman Old Style" w:hAnsi="Bookman Old Style" w:cs="Calibri"/>
          <w:bCs/>
          <w:color w:val="222222"/>
          <w:sz w:val="24"/>
          <w:szCs w:val="24"/>
        </w:rPr>
        <w:t xml:space="preserve">Di seguito i </w:t>
      </w:r>
      <w:r w:rsidRPr="002118F7">
        <w:rPr>
          <w:rFonts w:ascii="Bookman Old Style" w:hAnsi="Bookman Old Style" w:cs="Calibri"/>
          <w:b/>
          <w:bCs/>
          <w:color w:val="222222"/>
          <w:sz w:val="24"/>
          <w:szCs w:val="24"/>
          <w:u w:val="single"/>
        </w:rPr>
        <w:t>contenuti minimi ed essenziali</w:t>
      </w:r>
      <w:r>
        <w:rPr>
          <w:rFonts w:ascii="Bookman Old Style" w:hAnsi="Bookman Old Style" w:cs="Calibri"/>
          <w:bCs/>
          <w:color w:val="222222"/>
          <w:sz w:val="24"/>
          <w:szCs w:val="24"/>
        </w:rPr>
        <w:t>:</w:t>
      </w:r>
    </w:p>
    <w:p w14:paraId="275F98A9" w14:textId="4486640A" w:rsidR="0054409D" w:rsidRPr="00F35BAD" w:rsidRDefault="0054409D" w:rsidP="00F35BAD">
      <w:pPr>
        <w:pStyle w:val="Paragrafoelenco"/>
        <w:widowControl w:val="0"/>
        <w:numPr>
          <w:ilvl w:val="0"/>
          <w:numId w:val="6"/>
        </w:numPr>
        <w:shd w:val="clear" w:color="auto" w:fill="FFFFFF"/>
        <w:spacing w:after="120" w:line="360" w:lineRule="auto"/>
        <w:ind w:left="567" w:hanging="567"/>
        <w:jc w:val="both"/>
        <w:rPr>
          <w:rFonts w:ascii="Bookman Old Style" w:hAnsi="Bookman Old Style" w:cs="Calibri"/>
          <w:bCs/>
          <w:color w:val="000000" w:themeColor="text1"/>
          <w:sz w:val="24"/>
          <w:szCs w:val="24"/>
        </w:rPr>
      </w:pPr>
      <w:r w:rsidRPr="00F35BAD">
        <w:rPr>
          <w:rFonts w:ascii="Bookman Old Style" w:hAnsi="Bookman Old Style" w:cs="Calibri"/>
          <w:bCs/>
          <w:color w:val="000000" w:themeColor="text1"/>
          <w:sz w:val="24"/>
          <w:szCs w:val="24"/>
        </w:rPr>
        <w:t xml:space="preserve">deve essere individuata una data di decorrenza </w:t>
      </w:r>
      <w:r w:rsidR="00E609A3" w:rsidRPr="00F35BAD">
        <w:rPr>
          <w:rFonts w:ascii="Bookman Old Style" w:hAnsi="Bookman Old Style" w:cs="Calibri"/>
          <w:bCs/>
          <w:color w:val="000000" w:themeColor="text1"/>
          <w:sz w:val="24"/>
          <w:szCs w:val="24"/>
        </w:rPr>
        <w:t xml:space="preserve">differita </w:t>
      </w:r>
      <w:r w:rsidRPr="00F35BAD">
        <w:rPr>
          <w:rFonts w:ascii="Bookman Old Style" w:hAnsi="Bookman Old Style" w:cs="Calibri"/>
          <w:bCs/>
          <w:color w:val="000000" w:themeColor="text1"/>
          <w:sz w:val="24"/>
          <w:szCs w:val="24"/>
        </w:rPr>
        <w:t xml:space="preserve">del nuovo regime di assunzioni che consenta di </w:t>
      </w:r>
      <w:r w:rsidR="00074F74" w:rsidRPr="00F35BAD">
        <w:rPr>
          <w:rFonts w:ascii="Bookman Old Style" w:hAnsi="Bookman Old Style" w:cs="Calibri"/>
          <w:b/>
          <w:bCs/>
          <w:color w:val="000000" w:themeColor="text1"/>
          <w:sz w:val="24"/>
          <w:szCs w:val="24"/>
          <w:u w:val="single"/>
        </w:rPr>
        <w:t xml:space="preserve">salvaguardare e </w:t>
      </w:r>
      <w:r w:rsidRPr="00F35BAD">
        <w:rPr>
          <w:rFonts w:ascii="Bookman Old Style" w:hAnsi="Bookman Old Style" w:cs="Calibri"/>
          <w:b/>
          <w:bCs/>
          <w:color w:val="000000" w:themeColor="text1"/>
          <w:sz w:val="24"/>
          <w:szCs w:val="24"/>
          <w:u w:val="single"/>
        </w:rPr>
        <w:t xml:space="preserve">dare attuazione alle pianificazioni </w:t>
      </w:r>
      <w:proofErr w:type="spellStart"/>
      <w:r w:rsidRPr="00F35BAD">
        <w:rPr>
          <w:rFonts w:ascii="Bookman Old Style" w:hAnsi="Bookman Old Style" w:cs="Calibri"/>
          <w:b/>
          <w:bCs/>
          <w:color w:val="000000" w:themeColor="text1"/>
          <w:sz w:val="24"/>
          <w:szCs w:val="24"/>
          <w:u w:val="single"/>
        </w:rPr>
        <w:t>assunzionali</w:t>
      </w:r>
      <w:proofErr w:type="spellEnd"/>
      <w:r w:rsidRPr="00F35BAD">
        <w:rPr>
          <w:rFonts w:ascii="Bookman Old Style" w:hAnsi="Bookman Old Style" w:cs="Calibri"/>
          <w:b/>
          <w:bCs/>
          <w:color w:val="000000" w:themeColor="text1"/>
          <w:sz w:val="24"/>
          <w:szCs w:val="24"/>
          <w:u w:val="single"/>
        </w:rPr>
        <w:t xml:space="preserve"> già approvate per l’anno 2019</w:t>
      </w:r>
      <w:r w:rsidR="00E609A3" w:rsidRPr="00F35BAD">
        <w:rPr>
          <w:rFonts w:ascii="Bookman Old Style" w:hAnsi="Bookman Old Style" w:cs="Calibri"/>
          <w:bCs/>
          <w:color w:val="000000" w:themeColor="text1"/>
          <w:sz w:val="24"/>
          <w:szCs w:val="24"/>
        </w:rPr>
        <w:t>, chiarendo che medio tempore continuano ad applicarsi le disposizioni vigenti alla data di entrata in vigore del D</w:t>
      </w:r>
      <w:r w:rsidR="00B47BEE" w:rsidRPr="00F35BAD">
        <w:rPr>
          <w:rFonts w:ascii="Bookman Old Style" w:hAnsi="Bookman Old Style" w:cs="Calibri"/>
          <w:bCs/>
          <w:color w:val="000000" w:themeColor="text1"/>
          <w:sz w:val="24"/>
          <w:szCs w:val="24"/>
        </w:rPr>
        <w:t>.</w:t>
      </w:r>
      <w:r w:rsidR="00E609A3" w:rsidRPr="00F35BAD">
        <w:rPr>
          <w:rFonts w:ascii="Bookman Old Style" w:hAnsi="Bookman Old Style" w:cs="Calibri"/>
          <w:bCs/>
          <w:color w:val="000000" w:themeColor="text1"/>
          <w:sz w:val="24"/>
          <w:szCs w:val="24"/>
        </w:rPr>
        <w:t>L</w:t>
      </w:r>
      <w:r w:rsidR="00B47BEE" w:rsidRPr="00F35BAD">
        <w:rPr>
          <w:rFonts w:ascii="Bookman Old Style" w:hAnsi="Bookman Old Style" w:cs="Calibri"/>
          <w:bCs/>
          <w:color w:val="000000" w:themeColor="text1"/>
          <w:sz w:val="24"/>
          <w:szCs w:val="24"/>
        </w:rPr>
        <w:t>.</w:t>
      </w:r>
      <w:r w:rsidR="00E609A3" w:rsidRPr="00F35BAD">
        <w:rPr>
          <w:rFonts w:ascii="Bookman Old Style" w:hAnsi="Bookman Old Style" w:cs="Calibri"/>
          <w:bCs/>
          <w:color w:val="000000" w:themeColor="text1"/>
          <w:sz w:val="24"/>
          <w:szCs w:val="24"/>
        </w:rPr>
        <w:t xml:space="preserve"> </w:t>
      </w:r>
      <w:r w:rsidR="00B47BEE" w:rsidRPr="00F35BAD">
        <w:rPr>
          <w:rFonts w:ascii="Bookman Old Style" w:hAnsi="Bookman Old Style" w:cs="Calibri"/>
          <w:bCs/>
          <w:color w:val="000000" w:themeColor="text1"/>
          <w:sz w:val="24"/>
          <w:szCs w:val="24"/>
        </w:rPr>
        <w:t xml:space="preserve">n. </w:t>
      </w:r>
      <w:r w:rsidR="00E609A3" w:rsidRPr="00F35BAD">
        <w:rPr>
          <w:rFonts w:ascii="Bookman Old Style" w:hAnsi="Bookman Old Style" w:cs="Calibri"/>
          <w:bCs/>
          <w:color w:val="000000" w:themeColor="text1"/>
          <w:sz w:val="24"/>
          <w:szCs w:val="24"/>
        </w:rPr>
        <w:t>34/2019.</w:t>
      </w:r>
      <w:r w:rsidRPr="00F35BAD">
        <w:rPr>
          <w:rFonts w:ascii="Bookman Old Style" w:hAnsi="Bookman Old Style" w:cs="Calibri"/>
          <w:bCs/>
          <w:color w:val="000000" w:themeColor="text1"/>
          <w:sz w:val="24"/>
          <w:szCs w:val="24"/>
        </w:rPr>
        <w:t xml:space="preserve"> Si propone il 1/1/2020;</w:t>
      </w:r>
    </w:p>
    <w:p w14:paraId="1935E790" w14:textId="0A7DD161" w:rsidR="0054409D" w:rsidRPr="00F35BAD" w:rsidRDefault="0054409D" w:rsidP="00F35BAD">
      <w:pPr>
        <w:pStyle w:val="Paragrafoelenco"/>
        <w:widowControl w:val="0"/>
        <w:numPr>
          <w:ilvl w:val="0"/>
          <w:numId w:val="6"/>
        </w:numPr>
        <w:shd w:val="clear" w:color="auto" w:fill="FFFFFF"/>
        <w:spacing w:after="120" w:line="360" w:lineRule="auto"/>
        <w:ind w:left="567" w:hanging="567"/>
        <w:jc w:val="both"/>
        <w:rPr>
          <w:rFonts w:ascii="Bookman Old Style" w:hAnsi="Bookman Old Style" w:cs="Calibri"/>
          <w:bCs/>
          <w:color w:val="000000" w:themeColor="text1"/>
          <w:sz w:val="24"/>
          <w:szCs w:val="24"/>
        </w:rPr>
      </w:pPr>
      <w:r w:rsidRPr="00F35BAD">
        <w:rPr>
          <w:rFonts w:ascii="Bookman Old Style" w:hAnsi="Bookman Old Style" w:cs="Calibri"/>
          <w:bCs/>
          <w:color w:val="000000" w:themeColor="text1"/>
          <w:sz w:val="24"/>
          <w:szCs w:val="24"/>
        </w:rPr>
        <w:t xml:space="preserve">deve essere chiarito che le disposizioni in materia di </w:t>
      </w:r>
      <w:r w:rsidRPr="00F35BAD">
        <w:rPr>
          <w:rFonts w:ascii="Bookman Old Style" w:hAnsi="Bookman Old Style" w:cs="Calibri"/>
          <w:b/>
          <w:bCs/>
          <w:color w:val="000000" w:themeColor="text1"/>
          <w:sz w:val="24"/>
          <w:szCs w:val="24"/>
          <w:u w:val="single"/>
        </w:rPr>
        <w:t>trattamento economico accessorio</w:t>
      </w:r>
      <w:r w:rsidRPr="00F35BAD">
        <w:rPr>
          <w:rFonts w:ascii="Bookman Old Style" w:hAnsi="Bookman Old Style" w:cs="Calibri"/>
          <w:bCs/>
          <w:color w:val="000000" w:themeColor="text1"/>
          <w:sz w:val="24"/>
          <w:szCs w:val="24"/>
        </w:rPr>
        <w:t xml:space="preserve"> contenute nell’art. 33, si applicano con la medesima decorrenza definita per il nuovo regime </w:t>
      </w:r>
      <w:proofErr w:type="spellStart"/>
      <w:r w:rsidRPr="00F35BAD">
        <w:rPr>
          <w:rFonts w:ascii="Bookman Old Style" w:hAnsi="Bookman Old Style" w:cs="Calibri"/>
          <w:bCs/>
          <w:color w:val="000000" w:themeColor="text1"/>
          <w:sz w:val="24"/>
          <w:szCs w:val="24"/>
        </w:rPr>
        <w:t>assunzionale</w:t>
      </w:r>
      <w:proofErr w:type="spellEnd"/>
      <w:r w:rsidRPr="00F35BAD">
        <w:rPr>
          <w:rFonts w:ascii="Bookman Old Style" w:hAnsi="Bookman Old Style" w:cs="Calibri"/>
          <w:bCs/>
          <w:color w:val="000000" w:themeColor="text1"/>
          <w:sz w:val="24"/>
          <w:szCs w:val="24"/>
        </w:rPr>
        <w:t xml:space="preserve">, e che resta fermo quanto previsto dall’articolo 11-bis del </w:t>
      </w:r>
      <w:r w:rsidR="00B47BEE" w:rsidRPr="00F35BAD">
        <w:rPr>
          <w:rFonts w:ascii="Bookman Old Style" w:hAnsi="Bookman Old Style" w:cs="Calibri"/>
          <w:bCs/>
          <w:color w:val="000000" w:themeColor="text1"/>
          <w:sz w:val="24"/>
          <w:szCs w:val="24"/>
        </w:rPr>
        <w:t>D.L.</w:t>
      </w:r>
      <w:r w:rsidRPr="00F35BAD">
        <w:rPr>
          <w:rFonts w:ascii="Bookman Old Style" w:hAnsi="Bookman Old Style" w:cs="Calibri"/>
          <w:bCs/>
          <w:color w:val="000000" w:themeColor="text1"/>
          <w:sz w:val="24"/>
          <w:szCs w:val="24"/>
        </w:rPr>
        <w:t xml:space="preserve"> n. 135/2018 (possibilità di incrementare le risorse per le posizioni organizzative nei Comuni privi di dirigenza);</w:t>
      </w:r>
    </w:p>
    <w:p w14:paraId="3A552CBB" w14:textId="4F203E1B" w:rsidR="00074F74" w:rsidRPr="00F35BAD" w:rsidRDefault="00074F74" w:rsidP="00F35BAD">
      <w:pPr>
        <w:pStyle w:val="Paragrafoelenco"/>
        <w:widowControl w:val="0"/>
        <w:numPr>
          <w:ilvl w:val="0"/>
          <w:numId w:val="6"/>
        </w:numPr>
        <w:shd w:val="clear" w:color="auto" w:fill="FFFFFF"/>
        <w:spacing w:after="120" w:line="360" w:lineRule="auto"/>
        <w:ind w:left="567" w:hanging="567"/>
        <w:jc w:val="both"/>
        <w:rPr>
          <w:rFonts w:ascii="Bookman Old Style" w:hAnsi="Bookman Old Style" w:cs="Calibri"/>
          <w:bCs/>
          <w:color w:val="000000" w:themeColor="text1"/>
          <w:sz w:val="24"/>
          <w:szCs w:val="24"/>
        </w:rPr>
      </w:pPr>
      <w:r w:rsidRPr="00F35BAD">
        <w:rPr>
          <w:rFonts w:ascii="Bookman Old Style" w:hAnsi="Bookman Old Style" w:cs="Calibri"/>
          <w:bCs/>
          <w:color w:val="000000" w:themeColor="text1"/>
          <w:sz w:val="24"/>
          <w:szCs w:val="24"/>
        </w:rPr>
        <w:t>è</w:t>
      </w:r>
      <w:r w:rsidR="0054409D" w:rsidRPr="00F35BAD">
        <w:rPr>
          <w:rFonts w:ascii="Bookman Old Style" w:hAnsi="Bookman Old Style" w:cs="Calibri"/>
          <w:bCs/>
          <w:color w:val="000000" w:themeColor="text1"/>
          <w:sz w:val="24"/>
          <w:szCs w:val="24"/>
        </w:rPr>
        <w:t xml:space="preserve"> necessario </w:t>
      </w:r>
      <w:r w:rsidR="00D36387" w:rsidRPr="00F35BAD">
        <w:rPr>
          <w:rFonts w:ascii="Bookman Old Style" w:hAnsi="Bookman Old Style" w:cs="Calibri"/>
          <w:bCs/>
          <w:color w:val="000000" w:themeColor="text1"/>
          <w:sz w:val="24"/>
          <w:szCs w:val="24"/>
        </w:rPr>
        <w:t xml:space="preserve">individuare in modo semplice e diretto il valore da inserire al numeratore del rapporto </w:t>
      </w:r>
      <w:r w:rsidRPr="00F35BAD">
        <w:rPr>
          <w:rFonts w:ascii="Bookman Old Style" w:hAnsi="Bookman Old Style" w:cs="Calibri"/>
          <w:bCs/>
          <w:color w:val="000000" w:themeColor="text1"/>
          <w:sz w:val="24"/>
          <w:szCs w:val="24"/>
        </w:rPr>
        <w:t>“</w:t>
      </w:r>
      <w:r w:rsidR="00D36387" w:rsidRPr="00F35BAD">
        <w:rPr>
          <w:rFonts w:ascii="Bookman Old Style" w:hAnsi="Bookman Old Style" w:cs="Calibri"/>
          <w:bCs/>
          <w:color w:val="000000" w:themeColor="text1"/>
          <w:sz w:val="24"/>
          <w:szCs w:val="24"/>
        </w:rPr>
        <w:t>spesa di personale/entrate correnti</w:t>
      </w:r>
      <w:r w:rsidRPr="00F35BAD">
        <w:rPr>
          <w:rFonts w:ascii="Bookman Old Style" w:hAnsi="Bookman Old Style" w:cs="Calibri"/>
          <w:bCs/>
          <w:color w:val="000000" w:themeColor="text1"/>
          <w:sz w:val="24"/>
          <w:szCs w:val="24"/>
        </w:rPr>
        <w:t>”</w:t>
      </w:r>
      <w:r w:rsidR="00D36387" w:rsidRPr="00F35BAD">
        <w:rPr>
          <w:rFonts w:ascii="Bookman Old Style" w:hAnsi="Bookman Old Style" w:cs="Calibri"/>
          <w:bCs/>
          <w:color w:val="000000" w:themeColor="text1"/>
          <w:sz w:val="24"/>
          <w:szCs w:val="24"/>
        </w:rPr>
        <w:t xml:space="preserve">, tanto per l’individuazione dei “valori soglia per fascia demografica” da parte del Decreto, quanto </w:t>
      </w:r>
      <w:r w:rsidR="00B47BEE" w:rsidRPr="00F35BAD">
        <w:rPr>
          <w:rFonts w:ascii="Bookman Old Style" w:hAnsi="Bookman Old Style" w:cs="Calibri"/>
          <w:bCs/>
          <w:color w:val="000000" w:themeColor="text1"/>
          <w:sz w:val="24"/>
          <w:szCs w:val="24"/>
        </w:rPr>
        <w:t>per</w:t>
      </w:r>
      <w:r w:rsidR="00D36387" w:rsidRPr="00F35BAD">
        <w:rPr>
          <w:rFonts w:ascii="Bookman Old Style" w:hAnsi="Bookman Old Style" w:cs="Calibri"/>
          <w:bCs/>
          <w:color w:val="000000" w:themeColor="text1"/>
          <w:sz w:val="24"/>
          <w:szCs w:val="24"/>
        </w:rPr>
        <w:t xml:space="preserve"> l’individuazione del valore di riferimento per ciascun Comune. Si propone di prendere in considerazione il</w:t>
      </w:r>
      <w:r w:rsidR="0054409D" w:rsidRPr="00F35BAD">
        <w:rPr>
          <w:rFonts w:ascii="Bookman Old Style" w:hAnsi="Bookman Old Style" w:cs="Calibri"/>
          <w:bCs/>
          <w:color w:val="000000" w:themeColor="text1"/>
          <w:sz w:val="24"/>
          <w:szCs w:val="24"/>
        </w:rPr>
        <w:t xml:space="preserve"> macro</w:t>
      </w:r>
      <w:r w:rsidR="00D238EA" w:rsidRPr="00F35BAD">
        <w:rPr>
          <w:rFonts w:ascii="Bookman Old Style" w:hAnsi="Bookman Old Style" w:cs="Calibri"/>
          <w:bCs/>
          <w:color w:val="000000" w:themeColor="text1"/>
          <w:sz w:val="24"/>
          <w:szCs w:val="24"/>
        </w:rPr>
        <w:t>-</w:t>
      </w:r>
      <w:r w:rsidR="00F35BAD">
        <w:rPr>
          <w:rFonts w:ascii="Bookman Old Style" w:hAnsi="Bookman Old Style" w:cs="Calibri"/>
          <w:bCs/>
          <w:color w:val="000000" w:themeColor="text1"/>
          <w:sz w:val="24"/>
          <w:szCs w:val="24"/>
        </w:rPr>
        <w:t>aggregato</w:t>
      </w:r>
      <w:r w:rsidR="0054409D" w:rsidRPr="00F35BAD">
        <w:rPr>
          <w:rFonts w:ascii="Bookman Old Style" w:hAnsi="Bookman Old Style" w:cs="Calibri"/>
          <w:bCs/>
          <w:color w:val="000000" w:themeColor="text1"/>
          <w:sz w:val="24"/>
          <w:szCs w:val="24"/>
        </w:rPr>
        <w:t xml:space="preserve"> </w:t>
      </w:r>
      <w:r w:rsidR="00F35BAD">
        <w:rPr>
          <w:rFonts w:ascii="Bookman Old Style" w:hAnsi="Bookman Old Style" w:cs="Calibri"/>
          <w:bCs/>
          <w:color w:val="000000" w:themeColor="text1"/>
          <w:sz w:val="24"/>
          <w:szCs w:val="24"/>
        </w:rPr>
        <w:t>“redditi da lavoro dipendente”</w:t>
      </w:r>
      <w:r w:rsidRPr="00F35BAD">
        <w:rPr>
          <w:rFonts w:ascii="Bookman Old Style" w:hAnsi="Bookman Old Style" w:cs="Calibri"/>
          <w:bCs/>
          <w:color w:val="000000" w:themeColor="text1"/>
          <w:sz w:val="24"/>
          <w:szCs w:val="24"/>
        </w:rPr>
        <w:t>;</w:t>
      </w:r>
    </w:p>
    <w:p w14:paraId="0D1A055D" w14:textId="31D99AC0" w:rsidR="00074F74" w:rsidRPr="00F35BAD" w:rsidRDefault="00074F74" w:rsidP="00F35BAD">
      <w:pPr>
        <w:pStyle w:val="Paragrafoelenco"/>
        <w:widowControl w:val="0"/>
        <w:numPr>
          <w:ilvl w:val="0"/>
          <w:numId w:val="6"/>
        </w:numPr>
        <w:shd w:val="clear" w:color="auto" w:fill="FFFFFF"/>
        <w:spacing w:after="120" w:line="360" w:lineRule="auto"/>
        <w:ind w:left="567" w:hanging="567"/>
        <w:jc w:val="both"/>
        <w:rPr>
          <w:rFonts w:ascii="Bookman Old Style" w:hAnsi="Bookman Old Style" w:cs="Calibri"/>
          <w:bCs/>
          <w:color w:val="000000" w:themeColor="text1"/>
          <w:sz w:val="24"/>
          <w:szCs w:val="24"/>
        </w:rPr>
      </w:pPr>
      <w:r w:rsidRPr="00F35BAD">
        <w:rPr>
          <w:rFonts w:ascii="Bookman Old Style" w:hAnsi="Bookman Old Style" w:cs="Calibri"/>
          <w:bCs/>
          <w:color w:val="000000" w:themeColor="text1"/>
          <w:sz w:val="24"/>
          <w:szCs w:val="24"/>
        </w:rPr>
        <w:t>nel dare attuazione alla previsione normativa che prevede la poss</w:t>
      </w:r>
      <w:r w:rsidR="004A14CD" w:rsidRPr="00F35BAD">
        <w:rPr>
          <w:rFonts w:ascii="Bookman Old Style" w:hAnsi="Bookman Old Style" w:cs="Calibri"/>
          <w:bCs/>
          <w:color w:val="000000" w:themeColor="text1"/>
          <w:sz w:val="24"/>
          <w:szCs w:val="24"/>
        </w:rPr>
        <w:t>ibilità che il decreto individui</w:t>
      </w:r>
      <w:r w:rsidRPr="00F35BAD">
        <w:rPr>
          <w:rFonts w:ascii="Bookman Old Style" w:hAnsi="Bookman Old Style" w:cs="Calibri"/>
          <w:bCs/>
          <w:color w:val="000000" w:themeColor="text1"/>
          <w:sz w:val="24"/>
          <w:szCs w:val="24"/>
        </w:rPr>
        <w:t xml:space="preserve"> delle limitazioni </w:t>
      </w:r>
      <w:r w:rsidR="004A14CD" w:rsidRPr="00F35BAD">
        <w:rPr>
          <w:rFonts w:ascii="Bookman Old Style" w:hAnsi="Bookman Old Style" w:cs="Calibri"/>
          <w:bCs/>
          <w:color w:val="000000" w:themeColor="text1"/>
          <w:sz w:val="24"/>
          <w:szCs w:val="24"/>
        </w:rPr>
        <w:t xml:space="preserve">percentuali all’incremento </w:t>
      </w:r>
      <w:r w:rsidRPr="00F35BAD">
        <w:rPr>
          <w:rFonts w:ascii="Bookman Old Style" w:hAnsi="Bookman Old Style" w:cs="Calibri"/>
          <w:bCs/>
          <w:color w:val="000000" w:themeColor="text1"/>
          <w:sz w:val="24"/>
          <w:szCs w:val="24"/>
        </w:rPr>
        <w:t xml:space="preserve">della spesa di personale, </w:t>
      </w:r>
      <w:r w:rsidR="00F35BAD">
        <w:rPr>
          <w:rFonts w:ascii="Bookman Old Style" w:hAnsi="Bookman Old Style" w:cs="Calibri"/>
          <w:bCs/>
          <w:color w:val="000000" w:themeColor="text1"/>
          <w:sz w:val="24"/>
          <w:szCs w:val="24"/>
        </w:rPr>
        <w:t xml:space="preserve">nella fase di prima applicazione della nuova disciplina </w:t>
      </w:r>
      <w:r w:rsidRPr="00F35BAD">
        <w:rPr>
          <w:rFonts w:ascii="Bookman Old Style" w:hAnsi="Bookman Old Style" w:cs="Calibri"/>
          <w:bCs/>
          <w:color w:val="000000" w:themeColor="text1"/>
          <w:sz w:val="24"/>
          <w:szCs w:val="24"/>
        </w:rPr>
        <w:t>è necessario tenere conto delle specificità dei piccoli comuni in merito all’</w:t>
      </w:r>
      <w:r w:rsidRPr="007C1BB6">
        <w:rPr>
          <w:rFonts w:ascii="Bookman Old Style" w:hAnsi="Bookman Old Style" w:cs="Calibri"/>
          <w:b/>
          <w:bCs/>
          <w:color w:val="000000" w:themeColor="text1"/>
          <w:sz w:val="24"/>
          <w:szCs w:val="24"/>
          <w:u w:val="single"/>
        </w:rPr>
        <w:t xml:space="preserve">utilizzo dei c.d. “resti </w:t>
      </w:r>
      <w:proofErr w:type="spellStart"/>
      <w:r w:rsidRPr="007C1BB6">
        <w:rPr>
          <w:rFonts w:ascii="Bookman Old Style" w:hAnsi="Bookman Old Style" w:cs="Calibri"/>
          <w:b/>
          <w:bCs/>
          <w:color w:val="000000" w:themeColor="text1"/>
          <w:sz w:val="24"/>
          <w:szCs w:val="24"/>
          <w:u w:val="single"/>
        </w:rPr>
        <w:t>assunzionali</w:t>
      </w:r>
      <w:proofErr w:type="spellEnd"/>
      <w:r w:rsidRPr="007C1BB6">
        <w:rPr>
          <w:rFonts w:ascii="Bookman Old Style" w:hAnsi="Bookman Old Style" w:cs="Calibri"/>
          <w:b/>
          <w:bCs/>
          <w:color w:val="000000" w:themeColor="text1"/>
          <w:sz w:val="24"/>
          <w:szCs w:val="24"/>
          <w:u w:val="single"/>
        </w:rPr>
        <w:t>”</w:t>
      </w:r>
      <w:r w:rsidRPr="00F35BAD">
        <w:rPr>
          <w:rFonts w:ascii="Bookman Old Style" w:hAnsi="Bookman Old Style" w:cs="Calibri"/>
          <w:bCs/>
          <w:color w:val="000000" w:themeColor="text1"/>
          <w:sz w:val="24"/>
          <w:szCs w:val="24"/>
        </w:rPr>
        <w:t>;</w:t>
      </w:r>
    </w:p>
    <w:p w14:paraId="443F5814" w14:textId="7DCECC81" w:rsidR="0054409D" w:rsidRPr="00F35BAD" w:rsidRDefault="00074F74" w:rsidP="00F35BAD">
      <w:pPr>
        <w:pStyle w:val="Paragrafoelenco"/>
        <w:widowControl w:val="0"/>
        <w:numPr>
          <w:ilvl w:val="0"/>
          <w:numId w:val="6"/>
        </w:numPr>
        <w:shd w:val="clear" w:color="auto" w:fill="FFFFFF"/>
        <w:spacing w:after="120" w:line="360" w:lineRule="auto"/>
        <w:ind w:left="567" w:hanging="567"/>
        <w:jc w:val="both"/>
        <w:rPr>
          <w:rFonts w:ascii="Bookman Old Style" w:hAnsi="Bookman Old Style" w:cs="Calibri"/>
          <w:bCs/>
          <w:color w:val="000000" w:themeColor="text1"/>
          <w:sz w:val="24"/>
          <w:szCs w:val="24"/>
        </w:rPr>
      </w:pPr>
      <w:r w:rsidRPr="00F35BAD">
        <w:rPr>
          <w:rFonts w:ascii="Bookman Old Style" w:hAnsi="Bookman Old Style" w:cs="Calibri"/>
          <w:bCs/>
          <w:color w:val="000000" w:themeColor="text1"/>
          <w:sz w:val="24"/>
          <w:szCs w:val="24"/>
        </w:rPr>
        <w:t xml:space="preserve">sempre con riferimento alle limitazioni alla crescita annuale, occorre tenere conto e garantire il completamento dei </w:t>
      </w:r>
      <w:r w:rsidRPr="007C1BB6">
        <w:rPr>
          <w:rFonts w:ascii="Bookman Old Style" w:hAnsi="Bookman Old Style" w:cs="Calibri"/>
          <w:b/>
          <w:bCs/>
          <w:color w:val="000000" w:themeColor="text1"/>
          <w:sz w:val="24"/>
          <w:szCs w:val="24"/>
          <w:u w:val="single"/>
        </w:rPr>
        <w:t>processi straordinari di stabilizzazione</w:t>
      </w:r>
      <w:r w:rsidRPr="00F35BAD">
        <w:rPr>
          <w:rFonts w:ascii="Bookman Old Style" w:hAnsi="Bookman Old Style" w:cs="Calibri"/>
          <w:bCs/>
          <w:color w:val="000000" w:themeColor="text1"/>
          <w:sz w:val="24"/>
          <w:szCs w:val="24"/>
        </w:rPr>
        <w:t xml:space="preserve"> di personale</w:t>
      </w:r>
      <w:r w:rsidR="00E609A3" w:rsidRPr="00F35BAD">
        <w:rPr>
          <w:rFonts w:ascii="Bookman Old Style" w:hAnsi="Bookman Old Style" w:cs="Calibri"/>
          <w:bCs/>
          <w:color w:val="000000" w:themeColor="text1"/>
          <w:sz w:val="24"/>
          <w:szCs w:val="24"/>
        </w:rPr>
        <w:t xml:space="preserve"> precario</w:t>
      </w:r>
      <w:r w:rsidRPr="00F35BAD">
        <w:rPr>
          <w:rFonts w:ascii="Bookman Old Style" w:hAnsi="Bookman Old Style" w:cs="Calibri"/>
          <w:bCs/>
          <w:color w:val="000000" w:themeColor="text1"/>
          <w:sz w:val="24"/>
          <w:szCs w:val="24"/>
        </w:rPr>
        <w:t xml:space="preserve"> in attuazione di specifiche norme di legge (vedi: 1. commi 228-bis/quinquies legge n. 208/2015- 2. stabilizzazioni </w:t>
      </w:r>
      <w:r w:rsidRPr="00F35BAD">
        <w:rPr>
          <w:rFonts w:ascii="Bookman Old Style" w:hAnsi="Bookman Old Style" w:cs="Calibri"/>
          <w:bCs/>
          <w:color w:val="000000" w:themeColor="text1"/>
          <w:sz w:val="24"/>
          <w:szCs w:val="24"/>
        </w:rPr>
        <w:lastRenderedPageBreak/>
        <w:t xml:space="preserve">personale scolastico; art. 20 del </w:t>
      </w:r>
      <w:proofErr w:type="spellStart"/>
      <w:r w:rsidRPr="00F35BAD">
        <w:rPr>
          <w:rFonts w:ascii="Bookman Old Style" w:hAnsi="Bookman Old Style" w:cs="Calibri"/>
          <w:bCs/>
          <w:color w:val="000000" w:themeColor="text1"/>
          <w:sz w:val="24"/>
          <w:szCs w:val="24"/>
        </w:rPr>
        <w:t>D.Lgs.</w:t>
      </w:r>
      <w:proofErr w:type="spellEnd"/>
      <w:r w:rsidRPr="00F35BAD">
        <w:rPr>
          <w:rFonts w:ascii="Bookman Old Style" w:hAnsi="Bookman Old Style" w:cs="Calibri"/>
          <w:bCs/>
          <w:color w:val="000000" w:themeColor="text1"/>
          <w:sz w:val="24"/>
          <w:szCs w:val="24"/>
        </w:rPr>
        <w:t xml:space="preserve"> n. 75/2017- 3. superamento del precariato; comma 446 della legge n. 145/2018) che hanno consentito in via straordinaria la conversione di budget per i tempi determinati in budget </w:t>
      </w:r>
      <w:proofErr w:type="spellStart"/>
      <w:r w:rsidRPr="00F35BAD">
        <w:rPr>
          <w:rFonts w:ascii="Bookman Old Style" w:hAnsi="Bookman Old Style" w:cs="Calibri"/>
          <w:bCs/>
          <w:color w:val="000000" w:themeColor="text1"/>
          <w:sz w:val="24"/>
          <w:szCs w:val="24"/>
        </w:rPr>
        <w:t>ass</w:t>
      </w:r>
      <w:r w:rsidR="00E609A3" w:rsidRPr="00F35BAD">
        <w:rPr>
          <w:rFonts w:ascii="Bookman Old Style" w:hAnsi="Bookman Old Style" w:cs="Calibri"/>
          <w:bCs/>
          <w:color w:val="000000" w:themeColor="text1"/>
          <w:sz w:val="24"/>
          <w:szCs w:val="24"/>
        </w:rPr>
        <w:t>unzionale</w:t>
      </w:r>
      <w:proofErr w:type="spellEnd"/>
      <w:r w:rsidR="00E609A3" w:rsidRPr="00F35BAD">
        <w:rPr>
          <w:rFonts w:ascii="Bookman Old Style" w:hAnsi="Bookman Old Style" w:cs="Calibri"/>
          <w:bCs/>
          <w:color w:val="000000" w:themeColor="text1"/>
          <w:sz w:val="24"/>
          <w:szCs w:val="24"/>
        </w:rPr>
        <w:t xml:space="preserve"> a tempo indeterminato;</w:t>
      </w:r>
    </w:p>
    <w:p w14:paraId="4EDDEC06" w14:textId="77777777" w:rsidR="00F35BAD" w:rsidRDefault="00E609A3" w:rsidP="00F35BAD">
      <w:pPr>
        <w:pStyle w:val="Paragrafoelenco"/>
        <w:widowControl w:val="0"/>
        <w:numPr>
          <w:ilvl w:val="0"/>
          <w:numId w:val="6"/>
        </w:numPr>
        <w:shd w:val="clear" w:color="auto" w:fill="FFFFFF"/>
        <w:spacing w:after="120" w:line="360" w:lineRule="auto"/>
        <w:ind w:left="567" w:hanging="567"/>
        <w:jc w:val="both"/>
        <w:rPr>
          <w:rFonts w:ascii="Bookman Old Style" w:hAnsi="Bookman Old Style" w:cs="Calibri"/>
          <w:bCs/>
          <w:color w:val="000000" w:themeColor="text1"/>
          <w:sz w:val="24"/>
          <w:szCs w:val="24"/>
        </w:rPr>
      </w:pPr>
      <w:r w:rsidRPr="00F35BAD">
        <w:rPr>
          <w:rFonts w:ascii="Bookman Old Style" w:hAnsi="Bookman Old Style" w:cs="Calibri"/>
          <w:bCs/>
          <w:color w:val="000000" w:themeColor="text1"/>
          <w:sz w:val="24"/>
          <w:szCs w:val="24"/>
        </w:rPr>
        <w:t xml:space="preserve">occorre garantire il necessario coordinamento delle disposizioni che conservano vigore volto a prevenire </w:t>
      </w:r>
      <w:r w:rsidR="002030AC" w:rsidRPr="00F35BAD">
        <w:rPr>
          <w:rFonts w:ascii="Bookman Old Style" w:hAnsi="Bookman Old Style" w:cs="Calibri"/>
          <w:bCs/>
          <w:color w:val="000000" w:themeColor="text1"/>
          <w:sz w:val="24"/>
          <w:szCs w:val="24"/>
        </w:rPr>
        <w:t xml:space="preserve">ulteriori </w:t>
      </w:r>
      <w:r w:rsidRPr="00F35BAD">
        <w:rPr>
          <w:rFonts w:ascii="Bookman Old Style" w:hAnsi="Bookman Old Style" w:cs="Calibri"/>
          <w:bCs/>
          <w:color w:val="000000" w:themeColor="text1"/>
          <w:sz w:val="24"/>
          <w:szCs w:val="24"/>
        </w:rPr>
        <w:t>sovrapposizioni e conseguenti dubbi interpretativi</w:t>
      </w:r>
      <w:r w:rsidR="002030AC" w:rsidRPr="00F35BAD">
        <w:rPr>
          <w:rFonts w:ascii="Bookman Old Style" w:hAnsi="Bookman Old Style" w:cs="Calibri"/>
          <w:bCs/>
          <w:color w:val="000000" w:themeColor="text1"/>
          <w:sz w:val="24"/>
          <w:szCs w:val="24"/>
        </w:rPr>
        <w:t xml:space="preserve"> in una materia già regolata in modo eccessivamente disorganico: di conseguenza </w:t>
      </w:r>
      <w:r w:rsidR="002030AC" w:rsidRPr="007C1BB6">
        <w:rPr>
          <w:rFonts w:ascii="Bookman Old Style" w:hAnsi="Bookman Old Style" w:cs="Calibri"/>
          <w:b/>
          <w:bCs/>
          <w:color w:val="000000" w:themeColor="text1"/>
          <w:sz w:val="24"/>
          <w:szCs w:val="24"/>
          <w:u w:val="single"/>
        </w:rPr>
        <w:t xml:space="preserve">devono essere individuate le disposizioni di legge </w:t>
      </w:r>
      <w:r w:rsidR="002118F7" w:rsidRPr="007C1BB6">
        <w:rPr>
          <w:rFonts w:ascii="Bookman Old Style" w:hAnsi="Bookman Old Style" w:cs="Calibri"/>
          <w:b/>
          <w:bCs/>
          <w:color w:val="000000" w:themeColor="text1"/>
          <w:sz w:val="24"/>
          <w:szCs w:val="24"/>
          <w:u w:val="single"/>
        </w:rPr>
        <w:t xml:space="preserve">disapplicate </w:t>
      </w:r>
      <w:r w:rsidR="002118F7" w:rsidRPr="00F35BAD">
        <w:rPr>
          <w:rFonts w:ascii="Bookman Old Style" w:hAnsi="Bookman Old Style" w:cs="Calibri"/>
          <w:bCs/>
          <w:color w:val="000000" w:themeColor="text1"/>
          <w:sz w:val="24"/>
          <w:szCs w:val="24"/>
        </w:rPr>
        <w:t xml:space="preserve">per </w:t>
      </w:r>
      <w:r w:rsidR="002030AC" w:rsidRPr="00F35BAD">
        <w:rPr>
          <w:rFonts w:ascii="Bookman Old Style" w:hAnsi="Bookman Old Style" w:cs="Calibri"/>
          <w:bCs/>
          <w:color w:val="000000" w:themeColor="text1"/>
          <w:sz w:val="24"/>
          <w:szCs w:val="24"/>
        </w:rPr>
        <w:t>i Comuni abilitati a quantificare le proprie assunzioni di personale in applicazione dell’art. 33</w:t>
      </w:r>
      <w:r w:rsidRPr="00F35BAD">
        <w:rPr>
          <w:rFonts w:ascii="Bookman Old Style" w:hAnsi="Bookman Old Style" w:cs="Calibri"/>
          <w:bCs/>
          <w:color w:val="000000" w:themeColor="text1"/>
          <w:sz w:val="24"/>
          <w:szCs w:val="24"/>
        </w:rPr>
        <w:t>.</w:t>
      </w:r>
      <w:r w:rsidR="002030AC" w:rsidRPr="00F35BAD">
        <w:rPr>
          <w:rFonts w:ascii="Bookman Old Style" w:hAnsi="Bookman Old Style" w:cs="Calibri"/>
          <w:bCs/>
          <w:color w:val="000000" w:themeColor="text1"/>
          <w:sz w:val="24"/>
          <w:szCs w:val="24"/>
        </w:rPr>
        <w:t xml:space="preserve"> Deve essere corrispondentemente chiarito che i comuni non abilitati, in base ai propri parametri </w:t>
      </w:r>
      <w:r w:rsidR="002118F7" w:rsidRPr="00F35BAD">
        <w:rPr>
          <w:rFonts w:ascii="Bookman Old Style" w:hAnsi="Bookman Old Style" w:cs="Calibri"/>
          <w:bCs/>
          <w:color w:val="000000" w:themeColor="text1"/>
          <w:sz w:val="24"/>
          <w:szCs w:val="24"/>
        </w:rPr>
        <w:t>finanziari</w:t>
      </w:r>
      <w:r w:rsidR="002030AC" w:rsidRPr="00F35BAD">
        <w:rPr>
          <w:rFonts w:ascii="Bookman Old Style" w:hAnsi="Bookman Old Style" w:cs="Calibri"/>
          <w:bCs/>
          <w:color w:val="000000" w:themeColor="text1"/>
          <w:sz w:val="24"/>
          <w:szCs w:val="24"/>
        </w:rPr>
        <w:t>, continuano ad applicare la disciplina di cui all’art. 1, commi 557-quater e 562 della legge n. 296/2006, e all’art. 3, comma 5, del D</w:t>
      </w:r>
      <w:r w:rsidR="00B47BEE" w:rsidRPr="00F35BAD">
        <w:rPr>
          <w:rFonts w:ascii="Bookman Old Style" w:hAnsi="Bookman Old Style" w:cs="Calibri"/>
          <w:bCs/>
          <w:color w:val="000000" w:themeColor="text1"/>
          <w:sz w:val="24"/>
          <w:szCs w:val="24"/>
        </w:rPr>
        <w:t>.</w:t>
      </w:r>
      <w:r w:rsidR="002030AC" w:rsidRPr="00F35BAD">
        <w:rPr>
          <w:rFonts w:ascii="Bookman Old Style" w:hAnsi="Bookman Old Style" w:cs="Calibri"/>
          <w:bCs/>
          <w:color w:val="000000" w:themeColor="text1"/>
          <w:sz w:val="24"/>
          <w:szCs w:val="24"/>
        </w:rPr>
        <w:t>L</w:t>
      </w:r>
      <w:r w:rsidR="00B47BEE" w:rsidRPr="00F35BAD">
        <w:rPr>
          <w:rFonts w:ascii="Bookman Old Style" w:hAnsi="Bookman Old Style" w:cs="Calibri"/>
          <w:bCs/>
          <w:color w:val="000000" w:themeColor="text1"/>
          <w:sz w:val="24"/>
          <w:szCs w:val="24"/>
        </w:rPr>
        <w:t>.</w:t>
      </w:r>
      <w:r w:rsidR="002030AC" w:rsidRPr="00F35BAD">
        <w:rPr>
          <w:rFonts w:ascii="Bookman Old Style" w:hAnsi="Bookman Old Style" w:cs="Calibri"/>
          <w:bCs/>
          <w:color w:val="000000" w:themeColor="text1"/>
          <w:sz w:val="24"/>
          <w:szCs w:val="24"/>
        </w:rPr>
        <w:t xml:space="preserve"> n. 90/2014;</w:t>
      </w:r>
    </w:p>
    <w:p w14:paraId="7FF001FB" w14:textId="060C2D85" w:rsidR="00CA65C8" w:rsidRPr="00F35BAD" w:rsidRDefault="002030AC" w:rsidP="00212814">
      <w:pPr>
        <w:pStyle w:val="Paragrafoelenco"/>
        <w:widowControl w:val="0"/>
        <w:numPr>
          <w:ilvl w:val="0"/>
          <w:numId w:val="6"/>
        </w:numPr>
        <w:shd w:val="clear" w:color="auto" w:fill="FFFFFF"/>
        <w:spacing w:after="120" w:line="360" w:lineRule="auto"/>
        <w:ind w:left="567" w:hanging="567"/>
        <w:jc w:val="both"/>
        <w:rPr>
          <w:rFonts w:ascii="Bookman Old Style" w:hAnsi="Bookman Old Style" w:cs="Calibri"/>
          <w:bCs/>
          <w:color w:val="000000" w:themeColor="text1"/>
          <w:sz w:val="24"/>
          <w:szCs w:val="24"/>
        </w:rPr>
      </w:pPr>
      <w:r w:rsidRPr="00ED12BA">
        <w:rPr>
          <w:rFonts w:ascii="Bookman Old Style" w:hAnsi="Bookman Old Style" w:cs="Calibri"/>
          <w:bCs/>
          <w:color w:val="000000" w:themeColor="text1"/>
          <w:sz w:val="24"/>
          <w:szCs w:val="24"/>
        </w:rPr>
        <w:t xml:space="preserve">l’ANCI ritiene infine necessario effettuare una valutazione approfondita delle </w:t>
      </w:r>
      <w:r w:rsidR="00301303" w:rsidRPr="00ED12BA">
        <w:rPr>
          <w:rFonts w:ascii="Bookman Old Style" w:hAnsi="Bookman Old Style" w:cs="Calibri"/>
          <w:b/>
          <w:bCs/>
          <w:color w:val="000000" w:themeColor="text1"/>
          <w:sz w:val="24"/>
          <w:szCs w:val="24"/>
          <w:u w:val="single"/>
        </w:rPr>
        <w:t>eventuali voci di entrata e di spesa da neutralizzare</w:t>
      </w:r>
      <w:r w:rsidR="00301303" w:rsidRPr="00ED12BA">
        <w:rPr>
          <w:rFonts w:ascii="Bookman Old Style" w:hAnsi="Bookman Old Style" w:cs="Calibri"/>
          <w:bCs/>
          <w:color w:val="000000" w:themeColor="text1"/>
          <w:sz w:val="24"/>
          <w:szCs w:val="24"/>
        </w:rPr>
        <w:t xml:space="preserve"> in sede di determinazione del rapporto spesa/entrate, al fine di rendere comparabile il valore di riferimento di ciascun ente con il valore soglia</w:t>
      </w:r>
      <w:r w:rsidR="00E85680" w:rsidRPr="00ED12BA">
        <w:rPr>
          <w:rFonts w:ascii="Bookman Old Style" w:hAnsi="Bookman Old Style" w:cs="Calibri"/>
          <w:bCs/>
          <w:color w:val="000000" w:themeColor="text1"/>
          <w:sz w:val="24"/>
          <w:szCs w:val="24"/>
        </w:rPr>
        <w:t xml:space="preserve"> individuato dal decreto (es.: </w:t>
      </w:r>
      <w:r w:rsidR="00301303" w:rsidRPr="00ED12BA">
        <w:rPr>
          <w:rFonts w:ascii="Bookman Old Style" w:hAnsi="Bookman Old Style" w:cs="Calibri"/>
          <w:bCs/>
          <w:color w:val="000000" w:themeColor="text1"/>
          <w:sz w:val="24"/>
          <w:szCs w:val="24"/>
        </w:rPr>
        <w:t>finanziamento delle funzioni delegate da pa</w:t>
      </w:r>
      <w:r w:rsidR="00E85680" w:rsidRPr="00ED12BA">
        <w:rPr>
          <w:rFonts w:ascii="Bookman Old Style" w:hAnsi="Bookman Old Style" w:cs="Calibri"/>
          <w:bCs/>
          <w:color w:val="000000" w:themeColor="text1"/>
          <w:sz w:val="24"/>
          <w:szCs w:val="24"/>
        </w:rPr>
        <w:t>rte di altri livelli di governo; funzioni particolari svolte dai Comuni sulla base di normative regionali speciali</w:t>
      </w:r>
      <w:r w:rsidR="00301303" w:rsidRPr="00ED12BA">
        <w:rPr>
          <w:rFonts w:ascii="Bookman Old Style" w:hAnsi="Bookman Old Style" w:cs="Calibri"/>
          <w:bCs/>
          <w:color w:val="000000" w:themeColor="text1"/>
          <w:sz w:val="24"/>
          <w:szCs w:val="24"/>
        </w:rPr>
        <w:t xml:space="preserve"> etc.). Ciò o attraverso un’individuazione puntuale delle voci da scorporare, o attraver</w:t>
      </w:r>
      <w:r w:rsidR="0072461A" w:rsidRPr="00ED12BA">
        <w:rPr>
          <w:rFonts w:ascii="Bookman Old Style" w:hAnsi="Bookman Old Style" w:cs="Calibri"/>
          <w:bCs/>
          <w:color w:val="000000" w:themeColor="text1"/>
          <w:sz w:val="24"/>
          <w:szCs w:val="24"/>
        </w:rPr>
        <w:t>so l’individuazione di valori</w:t>
      </w:r>
      <w:r w:rsidR="00301303" w:rsidRPr="00ED12BA">
        <w:rPr>
          <w:rFonts w:ascii="Bookman Old Style" w:hAnsi="Bookman Old Style" w:cs="Calibri"/>
          <w:bCs/>
          <w:color w:val="000000" w:themeColor="text1"/>
          <w:sz w:val="24"/>
          <w:szCs w:val="24"/>
        </w:rPr>
        <w:t>-soglia sufficientemente capienti da assorbire tale esigenza di neutralizzazione/normalizzazione</w:t>
      </w:r>
      <w:r w:rsidR="00F35BAD" w:rsidRPr="00ED12BA">
        <w:rPr>
          <w:rFonts w:ascii="Bookman Old Style" w:hAnsi="Bookman Old Style" w:cs="Calibri"/>
          <w:bCs/>
          <w:color w:val="000000" w:themeColor="text1"/>
          <w:sz w:val="24"/>
          <w:szCs w:val="24"/>
        </w:rPr>
        <w:t xml:space="preserve"> </w:t>
      </w:r>
    </w:p>
    <w:sectPr w:rsidR="00CA65C8" w:rsidRPr="00F35BA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97DE7"/>
    <w:multiLevelType w:val="hybridMultilevel"/>
    <w:tmpl w:val="51F6A2AA"/>
    <w:lvl w:ilvl="0" w:tplc="0410000F">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A417191"/>
    <w:multiLevelType w:val="hybridMultilevel"/>
    <w:tmpl w:val="AB322568"/>
    <w:lvl w:ilvl="0" w:tplc="CFA0CBE6">
      <w:start w:val="3"/>
      <w:numFmt w:val="bullet"/>
      <w:lvlText w:val="-"/>
      <w:lvlJc w:val="left"/>
      <w:pPr>
        <w:ind w:left="720" w:hanging="360"/>
      </w:pPr>
      <w:rPr>
        <w:rFonts w:ascii="Bookman Old Style" w:eastAsia="Times New Roman" w:hAnsi="Bookman Old Style"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71456E7"/>
    <w:multiLevelType w:val="hybridMultilevel"/>
    <w:tmpl w:val="65C25336"/>
    <w:lvl w:ilvl="0" w:tplc="72BE4F88">
      <w:start w:val="1"/>
      <w:numFmt w:val="lowerLetter"/>
      <w:lvlText w:val="%1)"/>
      <w:lvlJc w:val="left"/>
      <w:pPr>
        <w:ind w:left="1068" w:hanging="360"/>
      </w:pPr>
      <w:rPr>
        <w:rFonts w:hint="default"/>
      </w:r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 w15:restartNumberingAfterBreak="0">
    <w:nsid w:val="3C3B62FA"/>
    <w:multiLevelType w:val="hybridMultilevel"/>
    <w:tmpl w:val="7512A6DA"/>
    <w:lvl w:ilvl="0" w:tplc="826A99D2">
      <w:numFmt w:val="bullet"/>
      <w:lvlText w:val="-"/>
      <w:lvlJc w:val="left"/>
      <w:pPr>
        <w:ind w:left="720" w:hanging="360"/>
      </w:pPr>
      <w:rPr>
        <w:rFonts w:ascii="Bookman Old Style" w:eastAsia="Times New Roman" w:hAnsi="Bookman Old Style"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3564A22"/>
    <w:multiLevelType w:val="hybridMultilevel"/>
    <w:tmpl w:val="0AD87910"/>
    <w:lvl w:ilvl="0" w:tplc="04187DF4">
      <w:start w:val="1"/>
      <w:numFmt w:val="decimal"/>
      <w:lvlText w:val="%1"/>
      <w:lvlJc w:val="left"/>
      <w:pPr>
        <w:ind w:left="2205" w:hanging="765"/>
      </w:pPr>
      <w:rPr>
        <w:rFonts w:hint="default"/>
      </w:r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5" w15:restartNumberingAfterBreak="0">
    <w:nsid w:val="6D3D1066"/>
    <w:multiLevelType w:val="hybridMultilevel"/>
    <w:tmpl w:val="D450A2C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E5440C2"/>
    <w:multiLevelType w:val="hybridMultilevel"/>
    <w:tmpl w:val="B4082D22"/>
    <w:lvl w:ilvl="0" w:tplc="B00C3BD4">
      <w:start w:val="1"/>
      <w:numFmt w:val="bullet"/>
      <w:lvlText w:val="-"/>
      <w:lvlJc w:val="left"/>
      <w:pPr>
        <w:ind w:left="720" w:hanging="360"/>
      </w:pPr>
      <w:rPr>
        <w:rFonts w:ascii="Bookman Old Style" w:eastAsia="Times New Roman" w:hAnsi="Bookman Old Style"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1"/>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676"/>
    <w:rsid w:val="00051CD0"/>
    <w:rsid w:val="00074F74"/>
    <w:rsid w:val="000E2298"/>
    <w:rsid w:val="001914CC"/>
    <w:rsid w:val="002030AC"/>
    <w:rsid w:val="002118F7"/>
    <w:rsid w:val="00273439"/>
    <w:rsid w:val="00295279"/>
    <w:rsid w:val="00301303"/>
    <w:rsid w:val="00371EB0"/>
    <w:rsid w:val="00383589"/>
    <w:rsid w:val="004A14CD"/>
    <w:rsid w:val="005150F2"/>
    <w:rsid w:val="0054409D"/>
    <w:rsid w:val="00607115"/>
    <w:rsid w:val="0072461A"/>
    <w:rsid w:val="00794255"/>
    <w:rsid w:val="007A4CEB"/>
    <w:rsid w:val="007C1BB6"/>
    <w:rsid w:val="00895AE3"/>
    <w:rsid w:val="009B10BD"/>
    <w:rsid w:val="00A0267E"/>
    <w:rsid w:val="00A719B8"/>
    <w:rsid w:val="00B47BEE"/>
    <w:rsid w:val="00BA5676"/>
    <w:rsid w:val="00CA65C8"/>
    <w:rsid w:val="00D238EA"/>
    <w:rsid w:val="00D36387"/>
    <w:rsid w:val="00D456F5"/>
    <w:rsid w:val="00DD4285"/>
    <w:rsid w:val="00E175C3"/>
    <w:rsid w:val="00E30F20"/>
    <w:rsid w:val="00E55865"/>
    <w:rsid w:val="00E609A3"/>
    <w:rsid w:val="00E85680"/>
    <w:rsid w:val="00ED12BA"/>
    <w:rsid w:val="00F35BAD"/>
    <w:rsid w:val="00F86E91"/>
    <w:rsid w:val="00FF7B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2F42C"/>
  <w15:docId w15:val="{4E24E935-6905-4370-A78D-0535AAFDE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01303"/>
    <w:pPr>
      <w:suppressAutoHyphens/>
    </w:pPr>
    <w:rPr>
      <w:rFonts w:ascii="Calibri" w:eastAsia="Times New Roman" w:hAnsi="Calibri" w:cs="Times New Roman"/>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01303"/>
    <w:pPr>
      <w:ind w:left="720"/>
      <w:contextualSpacing/>
    </w:pPr>
  </w:style>
  <w:style w:type="paragraph" w:styleId="Testofumetto">
    <w:name w:val="Balloon Text"/>
    <w:basedOn w:val="Normale"/>
    <w:link w:val="TestofumettoCarattere"/>
    <w:uiPriority w:val="99"/>
    <w:semiHidden/>
    <w:unhideWhenUsed/>
    <w:rsid w:val="0038358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83589"/>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260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1442</Words>
  <Characters>8225</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Agostino Bultrini</dc:creator>
  <cp:keywords/>
  <dc:description/>
  <cp:lastModifiedBy>Utente</cp:lastModifiedBy>
  <cp:revision>2</cp:revision>
  <cp:lastPrinted>2019-07-08T15:16:00Z</cp:lastPrinted>
  <dcterms:created xsi:type="dcterms:W3CDTF">2019-07-16T07:18:00Z</dcterms:created>
  <dcterms:modified xsi:type="dcterms:W3CDTF">2019-07-16T07:18:00Z</dcterms:modified>
</cp:coreProperties>
</file>