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E2" w:rsidRDefault="005810E2" w:rsidP="005810E2">
      <w:pPr>
        <w:jc w:val="center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2534920</wp:posOffset>
            </wp:positionH>
            <wp:positionV relativeFrom="paragraph">
              <wp:posOffset>-412115</wp:posOffset>
            </wp:positionV>
            <wp:extent cx="1009650" cy="1213485"/>
            <wp:effectExtent l="19050" t="0" r="0" b="0"/>
            <wp:wrapTopAndBottom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1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2B3" w:rsidRPr="00482405" w:rsidRDefault="00BA4B06" w:rsidP="005810E2">
      <w:pPr>
        <w:jc w:val="center"/>
        <w:rPr>
          <w:rFonts w:ascii="Bookman Old Style" w:hAnsi="Bookman Old Style"/>
          <w:b/>
        </w:rPr>
      </w:pPr>
      <w:r w:rsidRPr="00482405">
        <w:rPr>
          <w:rFonts w:ascii="Bookman Old Style" w:hAnsi="Bookman Old Style"/>
          <w:b/>
        </w:rPr>
        <w:t>Nota</w:t>
      </w:r>
      <w:r w:rsidR="005810E2" w:rsidRPr="00482405">
        <w:rPr>
          <w:rFonts w:ascii="Bookman Old Style" w:hAnsi="Bookman Old Style"/>
          <w:b/>
        </w:rPr>
        <w:t xml:space="preserve"> di indirizzi</w:t>
      </w:r>
      <w:r w:rsidRPr="00482405">
        <w:rPr>
          <w:rFonts w:ascii="Bookman Old Style" w:hAnsi="Bookman Old Style"/>
          <w:b/>
        </w:rPr>
        <w:t xml:space="preserve"> </w:t>
      </w:r>
      <w:r w:rsidR="007E12B3" w:rsidRPr="00482405">
        <w:rPr>
          <w:rFonts w:ascii="Bookman Old Style" w:hAnsi="Bookman Old Style"/>
          <w:b/>
        </w:rPr>
        <w:t>ANCI</w:t>
      </w:r>
    </w:p>
    <w:p w:rsidR="007E12B3" w:rsidRPr="00482405" w:rsidRDefault="007E12B3" w:rsidP="007E12B3">
      <w:pPr>
        <w:suppressAutoHyphens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 xml:space="preserve">Il 4 maggio 2017 la Conferenza unificata ha approvato, ai sensi dell’articolo 2, comma 1 del d.lgs. 30 giugno 2016, n. 126, l’accordo tra Governo, Regioni ed enti locali sull'adozione di moduli unificati e standardizzati per la presentazione di segnalazioni, comunicazioni e istanze nei settori dell'edilizia e delle attività commerciali e assimilabili. </w:t>
      </w:r>
    </w:p>
    <w:p w:rsidR="007E12B3" w:rsidRPr="00482405" w:rsidRDefault="007E12B3" w:rsidP="007E12B3">
      <w:pPr>
        <w:suppressAutoHyphens/>
        <w:spacing w:after="100" w:afterAutospacing="1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 xml:space="preserve">Le amministrazioni comunali, alle quali sono rivolte domande, segnalazioni e comunicazioni, hanno l’obbligo di </w:t>
      </w:r>
      <w:r w:rsidRPr="00482405">
        <w:rPr>
          <w:rFonts w:ascii="Bookman Old Style" w:hAnsi="Bookman Old Style"/>
          <w:b/>
        </w:rPr>
        <w:t>pubblicare sul loro sito istituzionale entro e non oltre il 30 giugno 2017 i moduli unificati e standardizzat</w:t>
      </w:r>
      <w:r w:rsidRPr="00482405">
        <w:rPr>
          <w:rFonts w:ascii="Bookman Old Style" w:hAnsi="Bookman Old Style"/>
        </w:rPr>
        <w:t xml:space="preserve">i, adottati con l’accordo e adattati dalle Regioni, ove necessario, alle specifiche normative regionali </w:t>
      </w:r>
      <w:r w:rsidRPr="00482405">
        <w:rPr>
          <w:rFonts w:ascii="Bookman Old Style" w:hAnsi="Bookman Old Style"/>
          <w:b/>
        </w:rPr>
        <w:t>entro il 20 giugno 2017</w:t>
      </w:r>
      <w:r w:rsidRPr="00482405">
        <w:rPr>
          <w:rFonts w:ascii="Bookman Old Style" w:hAnsi="Bookman Old Style"/>
        </w:rPr>
        <w:t xml:space="preserve">. </w:t>
      </w:r>
    </w:p>
    <w:p w:rsidR="007E12B3" w:rsidRPr="00482405" w:rsidRDefault="007E12B3" w:rsidP="007E12B3">
      <w:pPr>
        <w:suppressAutoHyphens/>
        <w:spacing w:after="100" w:afterAutospacing="1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L’obbligo di pubblicazione della modulistica sul sito istituzionale da parte del Comune può essere assolto anche attraverso una delle seguenti modalità:</w:t>
      </w:r>
    </w:p>
    <w:p w:rsidR="007E12B3" w:rsidRPr="00482405" w:rsidRDefault="007E12B3" w:rsidP="006B0F53">
      <w:pPr>
        <w:numPr>
          <w:ilvl w:val="0"/>
          <w:numId w:val="8"/>
        </w:numPr>
        <w:suppressAutoHyphens/>
        <w:spacing w:after="100" w:afterAutospacing="1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Rinvio (link) all</w:t>
      </w:r>
      <w:r w:rsidR="00335320" w:rsidRPr="00482405">
        <w:rPr>
          <w:rFonts w:ascii="Bookman Old Style" w:hAnsi="Bookman Old Style"/>
        </w:rPr>
        <w:t xml:space="preserve">a piattaforma </w:t>
      </w:r>
      <w:r w:rsidRPr="00482405">
        <w:rPr>
          <w:rFonts w:ascii="Bookman Old Style" w:hAnsi="Bookman Old Style"/>
        </w:rPr>
        <w:t xml:space="preserve">telematica </w:t>
      </w:r>
      <w:r w:rsidR="00335320" w:rsidRPr="00482405">
        <w:rPr>
          <w:rFonts w:ascii="Bookman Old Style" w:hAnsi="Bookman Old Style"/>
        </w:rPr>
        <w:t xml:space="preserve">utilizzata dal Comune </w:t>
      </w:r>
      <w:r w:rsidRPr="00482405">
        <w:rPr>
          <w:rFonts w:ascii="Bookman Old Style" w:hAnsi="Bookman Old Style"/>
        </w:rPr>
        <w:t xml:space="preserve">(il portale </w:t>
      </w:r>
      <w:hyperlink r:id="rId7" w:history="1">
        <w:r w:rsidRPr="00482405">
          <w:rPr>
            <w:rStyle w:val="Collegamentoipertestuale"/>
            <w:rFonts w:ascii="Bookman Old Style" w:hAnsi="Bookman Old Style"/>
          </w:rPr>
          <w:t>www.impresaingiorno</w:t>
        </w:r>
      </w:hyperlink>
      <w:r w:rsidRPr="00482405">
        <w:rPr>
          <w:rFonts w:ascii="Bookman Old Style" w:hAnsi="Bookman Old Style"/>
        </w:rPr>
        <w:t xml:space="preserve"> o i portali regionali e locali);</w:t>
      </w:r>
    </w:p>
    <w:p w:rsidR="00510B10" w:rsidRPr="00482405" w:rsidRDefault="007E12B3" w:rsidP="00510B10">
      <w:pPr>
        <w:numPr>
          <w:ilvl w:val="0"/>
          <w:numId w:val="8"/>
        </w:numPr>
        <w:suppressAutoHyphens/>
        <w:spacing w:after="100" w:afterAutospacing="1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 xml:space="preserve">Rinvio (link) alla modulistica adottata </w:t>
      </w:r>
      <w:r w:rsidR="00335320" w:rsidRPr="00482405">
        <w:rPr>
          <w:rFonts w:ascii="Bookman Old Style" w:hAnsi="Bookman Old Style"/>
        </w:rPr>
        <w:t xml:space="preserve">a livello regionale, </w:t>
      </w:r>
      <w:r w:rsidRPr="00482405">
        <w:rPr>
          <w:rFonts w:ascii="Bookman Old Style" w:hAnsi="Bookman Old Style"/>
        </w:rPr>
        <w:t>successivamente all’accordo e pubblicata sul sito istituzionale della Regione</w:t>
      </w:r>
      <w:r w:rsidR="00335320" w:rsidRPr="00482405">
        <w:rPr>
          <w:rFonts w:ascii="Bookman Old Style" w:hAnsi="Bookman Old Style"/>
        </w:rPr>
        <w:t>.</w:t>
      </w:r>
    </w:p>
    <w:p w:rsidR="00510B10" w:rsidRPr="00482405" w:rsidRDefault="00510B10" w:rsidP="00510B10">
      <w:pPr>
        <w:suppressAutoHyphens/>
        <w:spacing w:after="100" w:afterAutospacing="1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Con successivi accordi o, per le materie di competenza statale, con decreto del Ministro competente di concerto con il Ministro per la semplificazione e la pubblica amministrazione, verranno adottati i moduli per le altre attività/procedimenti indicati nella Tabella A allegata al decreto legislativo n. 222 del 2016. Inoltre, i moduli già adottati potranno essere, ove necessario, aggiornati.</w:t>
      </w:r>
    </w:p>
    <w:p w:rsidR="007E12B3" w:rsidRPr="00482405" w:rsidRDefault="007E12B3" w:rsidP="007E12B3">
      <w:pPr>
        <w:suppressAutoHyphens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Per i dati che devono essere specificati a livello locale</w:t>
      </w:r>
      <w:r w:rsidR="00335320" w:rsidRPr="00482405">
        <w:rPr>
          <w:rFonts w:ascii="Bookman Old Style" w:hAnsi="Bookman Old Style"/>
        </w:rPr>
        <w:t>,</w:t>
      </w:r>
      <w:r w:rsidRPr="00482405">
        <w:rPr>
          <w:rFonts w:ascii="Bookman Old Style" w:hAnsi="Bookman Old Style"/>
        </w:rPr>
        <w:t xml:space="preserve"> quali ad esempio la misura e le modalità di pagamento degli oneri, dei diritti, etc. oppure, per le attività per le quali ancora non è stata adottata la modulistica </w:t>
      </w:r>
      <w:r w:rsidR="00BA4B06" w:rsidRPr="00482405">
        <w:rPr>
          <w:rFonts w:ascii="Bookman Old Style" w:hAnsi="Bookman Old Style"/>
        </w:rPr>
        <w:t xml:space="preserve">unificata </w:t>
      </w:r>
      <w:r w:rsidRPr="00482405">
        <w:rPr>
          <w:rFonts w:ascii="Bookman Old Style" w:hAnsi="Bookman Old Style"/>
        </w:rPr>
        <w:t xml:space="preserve">a livello nazionale, le amministrazioni devono pubblicare comunque l’elenco delle informazioni, dei dati e delle eventuali attestazioni richieste a corredo della domanda, della segnalazione o della comunicazione.  </w:t>
      </w:r>
    </w:p>
    <w:p w:rsidR="007E12B3" w:rsidRPr="00482405" w:rsidRDefault="007E12B3" w:rsidP="007E12B3">
      <w:pPr>
        <w:suppressAutoHyphens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Si precisa inoltre che la tabella allegata al decreto legislativo n.222 del 2016 non contempla alcune specifiche attività,</w:t>
      </w:r>
      <w:r w:rsidR="00BA4B06" w:rsidRPr="00482405">
        <w:rPr>
          <w:rFonts w:ascii="Bookman Old Style" w:hAnsi="Bookman Old Style"/>
        </w:rPr>
        <w:t xml:space="preserve"> quali</w:t>
      </w:r>
      <w:r w:rsidR="00E62719" w:rsidRPr="00482405">
        <w:rPr>
          <w:rFonts w:ascii="Bookman Old Style" w:hAnsi="Bookman Old Style"/>
        </w:rPr>
        <w:t>,</w:t>
      </w:r>
      <w:r w:rsidR="00BA4B06" w:rsidRPr="00482405">
        <w:rPr>
          <w:rFonts w:ascii="Bookman Old Style" w:hAnsi="Bookman Old Style"/>
        </w:rPr>
        <w:t xml:space="preserve"> solo per fare un esempio</w:t>
      </w:r>
      <w:r w:rsidR="00E62719" w:rsidRPr="00482405">
        <w:rPr>
          <w:rFonts w:ascii="Bookman Old Style" w:hAnsi="Bookman Old Style"/>
        </w:rPr>
        <w:t>,</w:t>
      </w:r>
      <w:r w:rsidR="00BA4B06" w:rsidRPr="00482405">
        <w:rPr>
          <w:rFonts w:ascii="Bookman Old Style" w:hAnsi="Bookman Old Style"/>
        </w:rPr>
        <w:t xml:space="preserve"> il subingresso </w:t>
      </w:r>
      <w:r w:rsidR="00510B10" w:rsidRPr="00482405">
        <w:rPr>
          <w:rFonts w:ascii="Bookman Old Style" w:hAnsi="Bookman Old Style"/>
        </w:rPr>
        <w:t xml:space="preserve">per le </w:t>
      </w:r>
      <w:r w:rsidR="00BA4B06" w:rsidRPr="00482405">
        <w:rPr>
          <w:rFonts w:ascii="Bookman Old Style" w:hAnsi="Bookman Old Style"/>
        </w:rPr>
        <w:t>attività artigianali</w:t>
      </w:r>
      <w:r w:rsidR="00335320" w:rsidRPr="00482405">
        <w:rPr>
          <w:rFonts w:ascii="Bookman Old Style" w:hAnsi="Bookman Old Style"/>
        </w:rPr>
        <w:t>,</w:t>
      </w:r>
      <w:r w:rsidRPr="00482405">
        <w:rPr>
          <w:rFonts w:ascii="Bookman Old Style" w:hAnsi="Bookman Old Style"/>
        </w:rPr>
        <w:t xml:space="preserve"> in quanto non disciplinate da normativa statale, ma solo da </w:t>
      </w:r>
      <w:r w:rsidR="00BA4B06" w:rsidRPr="00482405">
        <w:rPr>
          <w:rFonts w:ascii="Bookman Old Style" w:hAnsi="Bookman Old Style"/>
        </w:rPr>
        <w:t>disposizioni regionali</w:t>
      </w:r>
      <w:r w:rsidRPr="00482405">
        <w:rPr>
          <w:rFonts w:ascii="Bookman Old Style" w:hAnsi="Bookman Old Style"/>
        </w:rPr>
        <w:t>. In tali casi i moduli potranno essere integrati a livello regionale o in mancanza a livello comunale.</w:t>
      </w:r>
    </w:p>
    <w:p w:rsidR="006B0F53" w:rsidRPr="00482405" w:rsidRDefault="00BA4B06" w:rsidP="006B0F53">
      <w:pPr>
        <w:suppressAutoHyphens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 xml:space="preserve">Come previsto dall’art. 2, comma </w:t>
      </w:r>
      <w:r w:rsidR="00E62719" w:rsidRPr="00482405">
        <w:rPr>
          <w:rFonts w:ascii="Bookman Old Style" w:hAnsi="Bookman Old Style"/>
        </w:rPr>
        <w:t>6</w:t>
      </w:r>
      <w:r w:rsidRPr="00482405">
        <w:rPr>
          <w:rFonts w:ascii="Bookman Old Style" w:hAnsi="Bookman Old Style"/>
        </w:rPr>
        <w:t>, del d.lgs. n. 222 del 2016</w:t>
      </w:r>
      <w:r w:rsidR="00421278" w:rsidRPr="00482405">
        <w:rPr>
          <w:rFonts w:ascii="Bookman Old Style" w:hAnsi="Bookman Old Style"/>
        </w:rPr>
        <w:t>,</w:t>
      </w:r>
      <w:r w:rsidRPr="00482405">
        <w:rPr>
          <w:rFonts w:ascii="Bookman Old Style" w:hAnsi="Bookman Old Style"/>
        </w:rPr>
        <w:t xml:space="preserve"> le </w:t>
      </w:r>
      <w:r w:rsidR="006B0F53" w:rsidRPr="00482405">
        <w:rPr>
          <w:rFonts w:ascii="Bookman Old Style" w:hAnsi="Bookman Old Style"/>
        </w:rPr>
        <w:t xml:space="preserve">Regioni e i comuni possono integrare la modulistica standardizzata unificata con le attività che non sono </w:t>
      </w:r>
      <w:r w:rsidR="006B0F53" w:rsidRPr="00482405">
        <w:rPr>
          <w:rFonts w:ascii="Bookman Old Style" w:hAnsi="Bookman Old Style"/>
        </w:rPr>
        <w:lastRenderedPageBreak/>
        <w:t xml:space="preserve">state espressamente individuate dalla Tabella A, in quanto riconducibili a fattispecie di competenza regionale ovvero a specificità territoriali.  </w:t>
      </w:r>
    </w:p>
    <w:p w:rsidR="00BA4B06" w:rsidRPr="00482405" w:rsidRDefault="00BA4B06" w:rsidP="006B0F53">
      <w:pPr>
        <w:suppressAutoHyphens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Resta</w:t>
      </w:r>
      <w:r w:rsidR="00335320" w:rsidRPr="00482405">
        <w:rPr>
          <w:rFonts w:ascii="Bookman Old Style" w:hAnsi="Bookman Old Style"/>
        </w:rPr>
        <w:t>, comunque,</w:t>
      </w:r>
      <w:r w:rsidRPr="00482405">
        <w:rPr>
          <w:rFonts w:ascii="Bookman Old Style" w:hAnsi="Bookman Old Style"/>
        </w:rPr>
        <w:t xml:space="preserve"> ferma la possibilità per </w:t>
      </w:r>
      <w:r w:rsidR="00335320" w:rsidRPr="00482405">
        <w:rPr>
          <w:rFonts w:ascii="Bookman Old Style" w:hAnsi="Bookman Old Style"/>
        </w:rPr>
        <w:t>l</w:t>
      </w:r>
      <w:r w:rsidRPr="00482405">
        <w:rPr>
          <w:rFonts w:ascii="Bookman Old Style" w:hAnsi="Bookman Old Style"/>
        </w:rPr>
        <w:t xml:space="preserve">e Regioni e gli Enti locali di prevedere maggiori livelli di semplificazione nel disciplinare i regimi amministrativi di loro competenza, secondo quanto disposto dall’art. </w:t>
      </w:r>
      <w:r w:rsidR="00E62719" w:rsidRPr="00482405">
        <w:rPr>
          <w:rFonts w:ascii="Bookman Old Style" w:hAnsi="Bookman Old Style"/>
        </w:rPr>
        <w:t>5</w:t>
      </w:r>
      <w:r w:rsidR="00335320" w:rsidRPr="00482405">
        <w:rPr>
          <w:rFonts w:ascii="Bookman Old Style" w:hAnsi="Bookman Old Style"/>
        </w:rPr>
        <w:t xml:space="preserve"> del decreto legislativo</w:t>
      </w:r>
      <w:r w:rsidR="00E62719" w:rsidRPr="00482405">
        <w:rPr>
          <w:rFonts w:ascii="Bookman Old Style" w:hAnsi="Bookman Old Style"/>
        </w:rPr>
        <w:t xml:space="preserve"> n. 222 del 2016.</w:t>
      </w:r>
    </w:p>
    <w:p w:rsidR="007E12B3" w:rsidRPr="00482405" w:rsidRDefault="007E12B3" w:rsidP="007E12B3">
      <w:pPr>
        <w:suppressAutoHyphens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L’accordo contiene altresì importanti istruzioni operative sia per le attività commerciali e assimilate che per l’ed</w:t>
      </w:r>
      <w:r w:rsidR="005810E2" w:rsidRPr="00482405">
        <w:rPr>
          <w:rFonts w:ascii="Bookman Old Style" w:hAnsi="Bookman Old Style"/>
        </w:rPr>
        <w:t>ilizia, di seguito sintetizzate:</w:t>
      </w:r>
    </w:p>
    <w:p w:rsidR="007E12B3" w:rsidRPr="00482405" w:rsidRDefault="007E12B3" w:rsidP="006B0F53">
      <w:pPr>
        <w:pStyle w:val="Paragrafoelenco"/>
        <w:numPr>
          <w:ilvl w:val="0"/>
          <w:numId w:val="4"/>
        </w:numPr>
        <w:tabs>
          <w:tab w:val="left" w:pos="0"/>
        </w:tabs>
        <w:ind w:left="0" w:firstLine="0"/>
        <w:rPr>
          <w:rFonts w:ascii="Bookman Old Style" w:hAnsi="Bookman Old Style"/>
          <w:b/>
        </w:rPr>
      </w:pPr>
      <w:r w:rsidRPr="00482405">
        <w:rPr>
          <w:rFonts w:ascii="Bookman Old Style" w:hAnsi="Bookman Old Style"/>
          <w:b/>
          <w:smallCaps/>
        </w:rPr>
        <w:t xml:space="preserve">istruzioni operative per l’utilizzo della modulistica in materia di </w:t>
      </w:r>
      <w:r w:rsidR="006B0F53" w:rsidRPr="00482405">
        <w:rPr>
          <w:rFonts w:ascii="Bookman Old Style" w:hAnsi="Bookman Old Style"/>
          <w:b/>
          <w:smallCaps/>
        </w:rPr>
        <w:t>attività</w:t>
      </w:r>
      <w:r w:rsidRPr="00482405">
        <w:rPr>
          <w:rFonts w:ascii="Bookman Old Style" w:hAnsi="Bookman Old Style"/>
          <w:b/>
          <w:smallCaps/>
        </w:rPr>
        <w:t xml:space="preserve"> commerciali e assimilate</w:t>
      </w:r>
    </w:p>
    <w:p w:rsidR="007E12B3" w:rsidRPr="00482405" w:rsidRDefault="007E12B3" w:rsidP="007E12B3">
      <w:pPr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 xml:space="preserve">I moduli unificati e semplificati riguardano: </w:t>
      </w:r>
    </w:p>
    <w:p w:rsidR="007E12B3" w:rsidRPr="00482405" w:rsidRDefault="007E12B3" w:rsidP="007E12B3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 xml:space="preserve">Scheda anagrafica </w:t>
      </w:r>
    </w:p>
    <w:p w:rsidR="007E12B3" w:rsidRPr="00482405" w:rsidRDefault="007E12B3" w:rsidP="007E12B3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 xml:space="preserve">Esercizio di vicinato </w:t>
      </w:r>
    </w:p>
    <w:p w:rsidR="007E12B3" w:rsidRPr="00482405" w:rsidRDefault="007E12B3" w:rsidP="007E12B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Media e grande struttura di vendita</w:t>
      </w:r>
    </w:p>
    <w:p w:rsidR="007E12B3" w:rsidRPr="00482405" w:rsidRDefault="007E12B3" w:rsidP="007E12B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Vendita in spacci interni</w:t>
      </w:r>
    </w:p>
    <w:p w:rsidR="007E12B3" w:rsidRPr="00482405" w:rsidRDefault="007E12B3" w:rsidP="007E12B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Vendita mediante apparecchi automatici in altri esercizi già abilitati e/o su aree pubbliche</w:t>
      </w:r>
    </w:p>
    <w:p w:rsidR="007E12B3" w:rsidRPr="00482405" w:rsidRDefault="007E12B3" w:rsidP="007E12B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Vendita per corrispondenza, tv, e-commerce</w:t>
      </w:r>
    </w:p>
    <w:p w:rsidR="007E12B3" w:rsidRPr="00482405" w:rsidRDefault="007E12B3" w:rsidP="007E12B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 xml:space="preserve">Vendita presso il domicilio dei consumatori </w:t>
      </w:r>
    </w:p>
    <w:p w:rsidR="007E12B3" w:rsidRPr="00482405" w:rsidRDefault="007E12B3" w:rsidP="007E12B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Bar, ristoranti e altri esercizi di somministrazione di alimenti e bevande (in zone tutelate)</w:t>
      </w:r>
    </w:p>
    <w:p w:rsidR="007E12B3" w:rsidRPr="00482405" w:rsidRDefault="007E12B3" w:rsidP="007E12B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Bar, ristoranti e altri esercizi di somministrazione di alimenti e bevande (in zone non tutelate)</w:t>
      </w:r>
    </w:p>
    <w:p w:rsidR="007E12B3" w:rsidRPr="00482405" w:rsidRDefault="007E12B3" w:rsidP="007E12B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Bar, ristoranti e altri esercizi di somministrazione temporanea di alimenti e bevande</w:t>
      </w:r>
    </w:p>
    <w:p w:rsidR="007E12B3" w:rsidRPr="00482405" w:rsidRDefault="007E12B3" w:rsidP="007E12B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Attività di acconciatore e/o estetista</w:t>
      </w:r>
    </w:p>
    <w:p w:rsidR="007E12B3" w:rsidRPr="00482405" w:rsidRDefault="007E12B3" w:rsidP="007E12B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 xml:space="preserve">Subingresso in attività </w:t>
      </w:r>
    </w:p>
    <w:p w:rsidR="007E12B3" w:rsidRPr="00482405" w:rsidRDefault="007E12B3" w:rsidP="007E12B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 xml:space="preserve">Cessazione o sospensione temporanea di attività </w:t>
      </w:r>
    </w:p>
    <w:p w:rsidR="007E12B3" w:rsidRPr="00482405" w:rsidRDefault="007E12B3" w:rsidP="007E12B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Notifica sanitaria ai fini della registrazione (Reg. CE n. 852/2004)</w:t>
      </w:r>
    </w:p>
    <w:p w:rsidR="007E12B3" w:rsidRPr="00482405" w:rsidRDefault="007E12B3" w:rsidP="007E12B3">
      <w:pPr>
        <w:spacing w:after="0"/>
        <w:jc w:val="both"/>
        <w:rPr>
          <w:rFonts w:ascii="Bookman Old Style" w:hAnsi="Bookman Old Style"/>
        </w:rPr>
      </w:pPr>
    </w:p>
    <w:p w:rsidR="007E12B3" w:rsidRPr="00482405" w:rsidRDefault="007E12B3" w:rsidP="007E12B3">
      <w:pPr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 xml:space="preserve">La </w:t>
      </w:r>
      <w:r w:rsidRPr="00482405">
        <w:rPr>
          <w:rFonts w:ascii="Bookman Old Style" w:hAnsi="Bookman Old Style"/>
          <w:b/>
        </w:rPr>
        <w:t>scheda anagrafica</w:t>
      </w:r>
      <w:r w:rsidRPr="00482405">
        <w:rPr>
          <w:rFonts w:ascii="Bookman Old Style" w:hAnsi="Bookman Old Style"/>
        </w:rPr>
        <w:t xml:space="preserve"> è comune a tutte le attività e costituisce parte integrante di ciascun modulo.</w:t>
      </w:r>
    </w:p>
    <w:p w:rsidR="007E12B3" w:rsidRPr="00482405" w:rsidRDefault="007E12B3" w:rsidP="007E12B3">
      <w:pPr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 xml:space="preserve">Il </w:t>
      </w:r>
      <w:r w:rsidRPr="00482405">
        <w:rPr>
          <w:rFonts w:ascii="Bookman Old Style" w:hAnsi="Bookman Old Style"/>
          <w:b/>
        </w:rPr>
        <w:t>modulo per la notifica sanitaria</w:t>
      </w:r>
      <w:r w:rsidRPr="00482405">
        <w:rPr>
          <w:rFonts w:ascii="Bookman Old Style" w:hAnsi="Bookman Old Style"/>
        </w:rPr>
        <w:t xml:space="preserve"> riguarda tutti gli operatori del settore alimentare.</w:t>
      </w:r>
    </w:p>
    <w:p w:rsidR="005810E2" w:rsidRPr="00482405" w:rsidRDefault="005810E2" w:rsidP="007E12B3">
      <w:pPr>
        <w:jc w:val="both"/>
        <w:rPr>
          <w:rFonts w:ascii="Bookman Old Style" w:hAnsi="Bookman Old Style"/>
          <w:b/>
        </w:rPr>
      </w:pPr>
    </w:p>
    <w:p w:rsidR="007E12B3" w:rsidRPr="00482405" w:rsidRDefault="007E12B3" w:rsidP="007E12B3">
      <w:pPr>
        <w:jc w:val="both"/>
        <w:rPr>
          <w:rFonts w:ascii="Bookman Old Style" w:hAnsi="Bookman Old Style"/>
          <w:b/>
        </w:rPr>
      </w:pPr>
      <w:r w:rsidRPr="00482405">
        <w:rPr>
          <w:rFonts w:ascii="Bookman Old Style" w:hAnsi="Bookman Old Style"/>
          <w:b/>
        </w:rPr>
        <w:t xml:space="preserve">L’organizzazione dei dati </w:t>
      </w:r>
    </w:p>
    <w:p w:rsidR="006B0F53" w:rsidRPr="00482405" w:rsidRDefault="007E12B3" w:rsidP="007E12B3">
      <w:pPr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La modulistica prende necessariamente in considerazione tutte le diverse opzioni legate, ad esempio, agli eventi legati alla vita delle imprese (avvio, trasferimento, ampliamento, subingresso o cessazione), alla dimensione delle attività commerciali, alle modalità di vendita,  alla tipologia di prodotti da vendere, alla localizzazione nel caso di bar e ristoranti (ad es. in zone tutelate), alle altre modalità di somministrazione di alimenti e bevande, etc.</w:t>
      </w:r>
    </w:p>
    <w:p w:rsidR="007E12B3" w:rsidRPr="00482405" w:rsidRDefault="007E12B3" w:rsidP="007E12B3">
      <w:pPr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 xml:space="preserve">Inoltre un apposito quadro riepilogativo indica l’eventuale documentazione da allegare, in particolare quando nel medesimo contesto vengono presentate altre segnalazioni o </w:t>
      </w:r>
      <w:r w:rsidRPr="00482405">
        <w:rPr>
          <w:rFonts w:ascii="Bookman Old Style" w:hAnsi="Bookman Old Style"/>
        </w:rPr>
        <w:lastRenderedPageBreak/>
        <w:t xml:space="preserve">comunicazioni nell’ambito della </w:t>
      </w:r>
      <w:r w:rsidRPr="00482405">
        <w:rPr>
          <w:rFonts w:ascii="Bookman Old Style" w:hAnsi="Bookman Old Style"/>
          <w:b/>
        </w:rPr>
        <w:t>SCIA unica</w:t>
      </w:r>
      <w:r w:rsidRPr="00482405">
        <w:rPr>
          <w:rFonts w:ascii="Bookman Old Style" w:hAnsi="Bookman Old Style"/>
        </w:rPr>
        <w:t xml:space="preserve"> o vengono richieste le autorizzazioni necessarie all’avvio dell’attività con la </w:t>
      </w:r>
      <w:r w:rsidRPr="00482405">
        <w:rPr>
          <w:rFonts w:ascii="Bookman Old Style" w:hAnsi="Bookman Old Style"/>
          <w:b/>
        </w:rPr>
        <w:t>SCIA condizionata</w:t>
      </w:r>
      <w:r w:rsidRPr="00482405">
        <w:rPr>
          <w:rFonts w:ascii="Bookman Old Style" w:hAnsi="Bookman Old Style"/>
        </w:rPr>
        <w:t xml:space="preserve">. </w:t>
      </w:r>
    </w:p>
    <w:p w:rsidR="007E12B3" w:rsidRPr="00482405" w:rsidRDefault="007E12B3" w:rsidP="007E12B3">
      <w:pPr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Il quadro riepilogativo potrà essere generato “in automatico” dal sistema informativo.</w:t>
      </w:r>
    </w:p>
    <w:p w:rsidR="007E12B3" w:rsidRPr="00482405" w:rsidRDefault="007E12B3" w:rsidP="007E12B3">
      <w:pPr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 xml:space="preserve">A differenza del modulo tradizionale cartaceo, la modulistica implementata su sistema informativo consente a cittadini e imprese di selezionare solo le opzioni di proprio interesse e, quindi, offre un percorso telematico guidato personalizzato. </w:t>
      </w:r>
    </w:p>
    <w:p w:rsidR="005810E2" w:rsidRPr="00482405" w:rsidRDefault="005810E2" w:rsidP="007E12B3">
      <w:pPr>
        <w:jc w:val="both"/>
        <w:rPr>
          <w:rFonts w:ascii="Bookman Old Style" w:hAnsi="Bookman Old Style"/>
          <w:b/>
        </w:rPr>
      </w:pPr>
    </w:p>
    <w:p w:rsidR="007E12B3" w:rsidRPr="00482405" w:rsidRDefault="007E12B3" w:rsidP="007E12B3">
      <w:pPr>
        <w:jc w:val="both"/>
        <w:rPr>
          <w:rFonts w:ascii="Bookman Old Style" w:hAnsi="Bookman Old Style"/>
          <w:b/>
        </w:rPr>
      </w:pPr>
      <w:r w:rsidRPr="00482405">
        <w:rPr>
          <w:rFonts w:ascii="Bookman Old Style" w:hAnsi="Bookman Old Style"/>
          <w:b/>
        </w:rPr>
        <w:t xml:space="preserve">Tutto quello che non può più </w:t>
      </w:r>
      <w:r w:rsidR="00335320" w:rsidRPr="00482405">
        <w:rPr>
          <w:rFonts w:ascii="Bookman Old Style" w:hAnsi="Bookman Old Style"/>
          <w:b/>
        </w:rPr>
        <w:t xml:space="preserve">essere richiesto a cittadini e </w:t>
      </w:r>
      <w:r w:rsidRPr="00482405">
        <w:rPr>
          <w:rFonts w:ascii="Bookman Old Style" w:hAnsi="Bookman Old Style"/>
          <w:b/>
        </w:rPr>
        <w:t>imprese</w:t>
      </w:r>
    </w:p>
    <w:p w:rsidR="006B0F53" w:rsidRPr="00482405" w:rsidRDefault="007E12B3" w:rsidP="007E12B3">
      <w:pPr>
        <w:pStyle w:val="Paragrafoelenco"/>
        <w:numPr>
          <w:ilvl w:val="0"/>
          <w:numId w:val="5"/>
        </w:numPr>
        <w:suppressAutoHyphens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Non possono più essere richiesti certificati, atti e documenti che la pubblica amministrazione già possiede (per esempio le certificazioni relative ai titoli di studio o professionali</w:t>
      </w:r>
      <w:r w:rsidR="0083000E" w:rsidRPr="00482405">
        <w:rPr>
          <w:rFonts w:ascii="Bookman Old Style" w:hAnsi="Bookman Old Style"/>
        </w:rPr>
        <w:t xml:space="preserve"> </w:t>
      </w:r>
      <w:r w:rsidRPr="00482405">
        <w:rPr>
          <w:rFonts w:ascii="Bookman Old Style" w:hAnsi="Bookman Old Style"/>
        </w:rPr>
        <w:t>richiesti per avviare alcune attività, la certificazione antimafia, etc.), ma solo</w:t>
      </w:r>
      <w:r w:rsidR="0083000E" w:rsidRPr="00482405">
        <w:rPr>
          <w:rFonts w:ascii="Bookman Old Style" w:hAnsi="Bookman Old Style"/>
        </w:rPr>
        <w:t>,</w:t>
      </w:r>
      <w:r w:rsidRPr="00482405">
        <w:rPr>
          <w:rFonts w:ascii="Bookman Old Style" w:hAnsi="Bookman Old Style"/>
        </w:rPr>
        <w:t xml:space="preserve"> </w:t>
      </w:r>
      <w:r w:rsidR="0083000E" w:rsidRPr="00482405">
        <w:rPr>
          <w:rFonts w:ascii="Bookman Old Style" w:hAnsi="Bookman Old Style"/>
        </w:rPr>
        <w:t>ove necessario, l’</w:t>
      </w:r>
      <w:r w:rsidRPr="00482405">
        <w:rPr>
          <w:rFonts w:ascii="Bookman Old Style" w:hAnsi="Bookman Old Style"/>
        </w:rPr>
        <w:t>gli elementi che consentano all’amministrazione di acquisirli o di effettuare i relativi controlli, anche a campione (articolo 18, legge n. 241 del 1990</w:t>
      </w:r>
      <w:r w:rsidR="00510B10" w:rsidRPr="00482405">
        <w:rPr>
          <w:rFonts w:ascii="Bookman Old Style" w:hAnsi="Bookman Old Style"/>
        </w:rPr>
        <w:t xml:space="preserve"> </w:t>
      </w:r>
      <w:r w:rsidR="00335320" w:rsidRPr="00482405">
        <w:rPr>
          <w:rFonts w:ascii="Bookman Old Style" w:hAnsi="Bookman Old Style"/>
        </w:rPr>
        <w:t xml:space="preserve">e </w:t>
      </w:r>
      <w:r w:rsidR="00510B10" w:rsidRPr="00482405">
        <w:rPr>
          <w:rFonts w:ascii="Bookman Old Style" w:hAnsi="Bookman Old Style"/>
        </w:rPr>
        <w:t xml:space="preserve">art 43 del DPR </w:t>
      </w:r>
      <w:r w:rsidR="00335320" w:rsidRPr="00482405">
        <w:rPr>
          <w:rFonts w:ascii="Bookman Old Style" w:hAnsi="Bookman Old Style"/>
        </w:rPr>
        <w:t xml:space="preserve">n. </w:t>
      </w:r>
      <w:r w:rsidR="00510B10" w:rsidRPr="00482405">
        <w:rPr>
          <w:rFonts w:ascii="Bookman Old Style" w:hAnsi="Bookman Old Style"/>
        </w:rPr>
        <w:t>445 del 2000</w:t>
      </w:r>
      <w:r w:rsidRPr="00482405">
        <w:rPr>
          <w:rFonts w:ascii="Bookman Old Style" w:hAnsi="Bookman Old Style"/>
        </w:rPr>
        <w:t xml:space="preserve">). </w:t>
      </w:r>
    </w:p>
    <w:p w:rsidR="00CC4893" w:rsidRPr="00482405" w:rsidRDefault="007E12B3" w:rsidP="00CC4893">
      <w:pPr>
        <w:pStyle w:val="Paragrafoelenco"/>
        <w:numPr>
          <w:ilvl w:val="0"/>
          <w:numId w:val="5"/>
        </w:numPr>
        <w:suppressAutoHyphens/>
        <w:spacing w:after="0"/>
        <w:jc w:val="both"/>
        <w:rPr>
          <w:rFonts w:ascii="Bookman Old Style" w:hAnsi="Bookman Old Style" w:cstheme="minorHAnsi"/>
          <w:color w:val="000000"/>
        </w:rPr>
      </w:pPr>
      <w:r w:rsidRPr="00482405">
        <w:rPr>
          <w:rFonts w:ascii="Bookman Old Style" w:hAnsi="Bookman Old Style"/>
        </w:rPr>
        <w:t>Non possono più essere richiesti dati e adempimenti che derivano da “prassi amministrative”, ma non sono espressamente previsti dalla legge. Ad esempio, non è più richiesto il certificato di agibilità dei locali per l’avvio di un’attività commerciale</w:t>
      </w:r>
      <w:r w:rsidR="00335320" w:rsidRPr="00482405">
        <w:rPr>
          <w:rFonts w:ascii="Bookman Old Style" w:hAnsi="Bookman Old Style"/>
        </w:rPr>
        <w:t xml:space="preserve"> e</w:t>
      </w:r>
      <w:r w:rsidRPr="00482405">
        <w:rPr>
          <w:rFonts w:ascii="Bookman Old Style" w:hAnsi="Bookman Old Style"/>
        </w:rPr>
        <w:t xml:space="preserve"> non occorre più allegare relazioni tecniche dettagliate con la descrizione dei locali e delle attrezzature per aprire un pubblico esercizio. È sufficiente una semplice dichiarazione di conformità ai regolamenti urbanistici, igienico sanitari, etc.</w:t>
      </w:r>
      <w:r w:rsidR="00CC4893" w:rsidRPr="00482405">
        <w:rPr>
          <w:rFonts w:ascii="Bookman Old Style" w:hAnsi="Bookman Old Style"/>
        </w:rPr>
        <w:t>;</w:t>
      </w:r>
    </w:p>
    <w:p w:rsidR="00CC4893" w:rsidRPr="00482405" w:rsidRDefault="00CC4893" w:rsidP="00CC4893">
      <w:pPr>
        <w:pStyle w:val="Paragrafoelenco"/>
        <w:numPr>
          <w:ilvl w:val="0"/>
          <w:numId w:val="5"/>
        </w:numPr>
        <w:suppressAutoHyphens/>
        <w:spacing w:after="0"/>
        <w:jc w:val="both"/>
        <w:rPr>
          <w:rFonts w:ascii="Bookman Old Style" w:hAnsi="Bookman Old Style" w:cstheme="minorHAnsi"/>
          <w:color w:val="000000"/>
        </w:rPr>
      </w:pPr>
      <w:r w:rsidRPr="00482405">
        <w:rPr>
          <w:rFonts w:ascii="Bookman Old Style" w:hAnsi="Bookman Old Style" w:cstheme="minorHAnsi"/>
          <w:iCs/>
          <w:color w:val="000000"/>
        </w:rPr>
        <w:t xml:space="preserve">Le autorizzazioni, segnalazioni e comunicazioni preliminari all’avvio dell’attività, vengono acquisite dallo sportello unico per le attività produttive (SUAP) presentando tutte le segnalazioni/comunicazioni con la SCIA unica (SCIA più altre segnalazioni o comunicazioni) e tutte le domande di autorizzazione in uno con la SCIA condizionata (SCIA più istanze). </w:t>
      </w:r>
    </w:p>
    <w:p w:rsidR="00CC4893" w:rsidRPr="00482405" w:rsidRDefault="00CC4893" w:rsidP="007E12B3">
      <w:pPr>
        <w:jc w:val="both"/>
        <w:rPr>
          <w:rFonts w:ascii="Bookman Old Style" w:hAnsi="Bookman Old Style"/>
          <w:b/>
        </w:rPr>
      </w:pPr>
    </w:p>
    <w:p w:rsidR="007E12B3" w:rsidRPr="00482405" w:rsidRDefault="007E12B3" w:rsidP="007E12B3">
      <w:pPr>
        <w:jc w:val="both"/>
        <w:rPr>
          <w:rFonts w:ascii="Bookman Old Style" w:hAnsi="Bookman Old Style"/>
          <w:b/>
        </w:rPr>
      </w:pPr>
      <w:r w:rsidRPr="00482405">
        <w:rPr>
          <w:rFonts w:ascii="Bookman Old Style" w:hAnsi="Bookman Old Style"/>
          <w:b/>
        </w:rPr>
        <w:t>Un linguaggio più semplice</w:t>
      </w:r>
    </w:p>
    <w:p w:rsidR="007E12B3" w:rsidRPr="00482405" w:rsidRDefault="007E12B3" w:rsidP="006B0F53">
      <w:pPr>
        <w:pStyle w:val="Paragrafoelenco"/>
        <w:numPr>
          <w:ilvl w:val="0"/>
          <w:numId w:val="6"/>
        </w:numPr>
        <w:suppressAutoHyphens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Il linguaggio è stato semplificato in modo da utilizzare il più possibile termini di uso comune.  Ad esempio “un esercizio di vicinato” è un esercizio commerciale fino a 150/250 mq, “un esercizio di somministrazione di alimenti e bevande” è un bar o un ristorante.</w:t>
      </w:r>
    </w:p>
    <w:p w:rsidR="007E12B3" w:rsidRPr="00482405" w:rsidRDefault="007E12B3" w:rsidP="006B0F53">
      <w:pPr>
        <w:pStyle w:val="Paragrafoelenco"/>
        <w:numPr>
          <w:ilvl w:val="0"/>
          <w:numId w:val="6"/>
        </w:numPr>
        <w:suppressAutoHyphens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Sono state eliminate tutte le espressioni del tipo “ai sensi della legge”, i riferimenti normativi si trovano solo in nota o tra parentesi.</w:t>
      </w:r>
    </w:p>
    <w:p w:rsidR="007E12B3" w:rsidRPr="00482405" w:rsidRDefault="007E12B3" w:rsidP="006B0F53">
      <w:pPr>
        <w:pStyle w:val="Paragrafoelenco"/>
        <w:numPr>
          <w:ilvl w:val="0"/>
          <w:numId w:val="6"/>
        </w:numPr>
        <w:suppressAutoHyphens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In tutti i casi in cui erano previste formule del tipo “dichiaro di essere in possesso dei requisiti di cui all’art. X della legge XX”, che rendevano difficilmente accessibile per l’impresa il contenuto della dichiarazione da sottoscrivere, è stato esplicitato il contenuto dei requisiti previsti dalla legge, anche attraverso appositi riquadri esplicativi.</w:t>
      </w:r>
    </w:p>
    <w:p w:rsidR="006B0F53" w:rsidRDefault="006B0F53" w:rsidP="007E12B3">
      <w:pPr>
        <w:tabs>
          <w:tab w:val="left" w:pos="1418"/>
        </w:tabs>
        <w:spacing w:after="120"/>
        <w:jc w:val="both"/>
        <w:rPr>
          <w:rFonts w:ascii="Bookman Old Style" w:hAnsi="Bookman Old Style"/>
          <w:b/>
        </w:rPr>
      </w:pPr>
    </w:p>
    <w:p w:rsidR="007E0FA9" w:rsidRDefault="007E0FA9" w:rsidP="007E12B3">
      <w:pPr>
        <w:tabs>
          <w:tab w:val="left" w:pos="1418"/>
        </w:tabs>
        <w:spacing w:after="120"/>
        <w:jc w:val="both"/>
        <w:rPr>
          <w:rFonts w:ascii="Bookman Old Style" w:hAnsi="Bookman Old Style"/>
          <w:b/>
        </w:rPr>
      </w:pPr>
    </w:p>
    <w:p w:rsidR="007E0FA9" w:rsidRDefault="007E0FA9" w:rsidP="007E12B3">
      <w:pPr>
        <w:tabs>
          <w:tab w:val="left" w:pos="1418"/>
        </w:tabs>
        <w:spacing w:after="120"/>
        <w:jc w:val="both"/>
        <w:rPr>
          <w:rFonts w:ascii="Bookman Old Style" w:hAnsi="Bookman Old Style"/>
          <w:b/>
        </w:rPr>
      </w:pPr>
    </w:p>
    <w:p w:rsidR="007E0FA9" w:rsidRDefault="007E0FA9" w:rsidP="007E12B3">
      <w:pPr>
        <w:tabs>
          <w:tab w:val="left" w:pos="1418"/>
        </w:tabs>
        <w:spacing w:after="120"/>
        <w:jc w:val="both"/>
        <w:rPr>
          <w:rFonts w:ascii="Bookman Old Style" w:hAnsi="Bookman Old Style"/>
          <w:b/>
        </w:rPr>
      </w:pPr>
    </w:p>
    <w:p w:rsidR="007E0FA9" w:rsidRDefault="007E0FA9" w:rsidP="007E12B3">
      <w:pPr>
        <w:tabs>
          <w:tab w:val="left" w:pos="1418"/>
        </w:tabs>
        <w:spacing w:after="120"/>
        <w:jc w:val="both"/>
        <w:rPr>
          <w:rFonts w:ascii="Bookman Old Style" w:hAnsi="Bookman Old Style"/>
          <w:b/>
        </w:rPr>
      </w:pPr>
    </w:p>
    <w:p w:rsidR="007E0FA9" w:rsidRDefault="007E0FA9" w:rsidP="007E12B3">
      <w:pPr>
        <w:tabs>
          <w:tab w:val="left" w:pos="1418"/>
        </w:tabs>
        <w:spacing w:after="120"/>
        <w:jc w:val="both"/>
        <w:rPr>
          <w:rFonts w:ascii="Bookman Old Style" w:hAnsi="Bookman Old Style"/>
          <w:b/>
        </w:rPr>
      </w:pPr>
    </w:p>
    <w:p w:rsidR="007E0FA9" w:rsidRPr="00482405" w:rsidRDefault="007E0FA9" w:rsidP="007E12B3">
      <w:pPr>
        <w:tabs>
          <w:tab w:val="left" w:pos="1418"/>
        </w:tabs>
        <w:spacing w:after="120"/>
        <w:jc w:val="both"/>
        <w:rPr>
          <w:rFonts w:ascii="Bookman Old Style" w:hAnsi="Bookman Old Style"/>
          <w:b/>
        </w:rPr>
      </w:pPr>
    </w:p>
    <w:p w:rsidR="004A206C" w:rsidRPr="00482405" w:rsidRDefault="004A206C" w:rsidP="004A206C">
      <w:pPr>
        <w:pStyle w:val="Paragrafoelenco"/>
        <w:numPr>
          <w:ilvl w:val="0"/>
          <w:numId w:val="4"/>
        </w:numPr>
        <w:tabs>
          <w:tab w:val="left" w:pos="0"/>
        </w:tabs>
        <w:ind w:left="0" w:firstLine="0"/>
        <w:rPr>
          <w:rFonts w:ascii="Bookman Old Style" w:hAnsi="Bookman Old Style"/>
          <w:b/>
          <w:smallCaps/>
        </w:rPr>
      </w:pPr>
      <w:r w:rsidRPr="00482405">
        <w:rPr>
          <w:rFonts w:ascii="Bookman Old Style" w:hAnsi="Bookman Old Style"/>
          <w:b/>
          <w:smallCaps/>
        </w:rPr>
        <w:t>ISTRUZIONI OPERATIVE PER L’UTILIZZO DELLA MODULISTICA IN MATERIA DI ATTIVITA’ EDILIZIE</w:t>
      </w:r>
    </w:p>
    <w:p w:rsidR="004A206C" w:rsidRPr="00482405" w:rsidRDefault="004A206C" w:rsidP="004A206C">
      <w:pPr>
        <w:suppressAutoHyphens/>
        <w:spacing w:after="12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I moduli unificati e semplificati oggetto dell’accordo sono:</w:t>
      </w:r>
    </w:p>
    <w:p w:rsidR="004A206C" w:rsidRPr="00482405" w:rsidRDefault="004A206C" w:rsidP="004A206C">
      <w:pPr>
        <w:suppressAutoHyphens/>
        <w:spacing w:after="12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A. CILA</w:t>
      </w:r>
    </w:p>
    <w:p w:rsidR="004A206C" w:rsidRPr="00482405" w:rsidRDefault="004A206C" w:rsidP="004A206C">
      <w:pPr>
        <w:suppressAutoHyphens/>
        <w:spacing w:after="12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B. SCIA e SCIA alternativa al permesso di costruire (nelle regioni che hanno disciplinato entrambi i titoli abilitativi i due moduli possono essere unificati)</w:t>
      </w:r>
    </w:p>
    <w:p w:rsidR="004A206C" w:rsidRPr="00482405" w:rsidRDefault="004A206C" w:rsidP="004A206C">
      <w:pPr>
        <w:suppressAutoHyphens/>
        <w:spacing w:after="12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C. Comunicazione di inizio lavori (CIL) per opere dirette a soddisfare obiettive esigenze contingenti e temporanee</w:t>
      </w:r>
    </w:p>
    <w:p w:rsidR="004A206C" w:rsidRPr="00482405" w:rsidRDefault="004A206C" w:rsidP="004A206C">
      <w:pPr>
        <w:suppressAutoHyphens/>
        <w:spacing w:after="12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D. Soggetti coinvolti (allegato comune ai moduli CILA, SCIA e CIL)</w:t>
      </w:r>
    </w:p>
    <w:p w:rsidR="004A206C" w:rsidRPr="00482405" w:rsidRDefault="004A206C" w:rsidP="004A206C">
      <w:pPr>
        <w:suppressAutoHyphens/>
        <w:spacing w:after="12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E. Comunicazione di fine lavori</w:t>
      </w:r>
    </w:p>
    <w:p w:rsidR="004A206C" w:rsidRPr="00482405" w:rsidRDefault="004A206C" w:rsidP="004A206C">
      <w:pPr>
        <w:suppressAutoHyphens/>
        <w:spacing w:after="120" w:line="24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F. SCIA per l’agibilità</w:t>
      </w:r>
    </w:p>
    <w:p w:rsidR="004A206C" w:rsidRPr="00482405" w:rsidRDefault="004A206C" w:rsidP="007E12B3">
      <w:pPr>
        <w:tabs>
          <w:tab w:val="left" w:pos="1418"/>
        </w:tabs>
        <w:spacing w:after="120"/>
        <w:jc w:val="both"/>
        <w:rPr>
          <w:rFonts w:ascii="Bookman Old Style" w:hAnsi="Bookman Old Style"/>
          <w:b/>
        </w:rPr>
      </w:pPr>
    </w:p>
    <w:p w:rsidR="004A206C" w:rsidRPr="00482405" w:rsidRDefault="004A206C" w:rsidP="004A206C">
      <w:pPr>
        <w:suppressAutoHyphens/>
        <w:spacing w:after="120" w:line="360" w:lineRule="auto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  <w:b/>
        </w:rPr>
        <w:t xml:space="preserve">L’organizzazione dei dati </w:t>
      </w:r>
    </w:p>
    <w:p w:rsidR="004A206C" w:rsidRPr="00482405" w:rsidRDefault="004A206C" w:rsidP="004A206C">
      <w:pPr>
        <w:suppressAutoHyphens/>
        <w:spacing w:after="0" w:line="360" w:lineRule="auto"/>
        <w:jc w:val="both"/>
        <w:rPr>
          <w:rFonts w:ascii="Bookman Old Style" w:hAnsi="Bookman Old Style"/>
          <w:b/>
        </w:rPr>
      </w:pPr>
      <w:r w:rsidRPr="00482405">
        <w:rPr>
          <w:rFonts w:ascii="Bookman Old Style" w:hAnsi="Bookman Old Style"/>
          <w:b/>
        </w:rPr>
        <w:t>Il modulo della SCIA</w:t>
      </w:r>
    </w:p>
    <w:p w:rsidR="004A206C" w:rsidRPr="00482405" w:rsidRDefault="004A206C" w:rsidP="004A206C">
      <w:pPr>
        <w:suppressAutoHyphens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Il modulo della SCIA (compresa la SCIA alternativa al permesso di costruire) è organizzato in due sezioni: la prima è dedicata ai dati, alla segnalazione e alla dichiarazione del titolare (proprietario, affittuario etc.); la seconda parte è riservata alla relazione di asseverazione del tecnico: un percorso guidato indica tutte le possibili opzioni connesse alla realizzazione del progetto quando, contestualmente alla SCIA, è necessario presentare altre segnalazioni o comunicazioni (SCIA unica) o richiedere l’ acquisizione degli atti di assenso (SCIA condizionata). Infine una lista di controllo: il quadro riepilogativo della documentazione, che può essere generato “in automatico” dal sistema informativo, consente di verificare la presenza degli allegati necessari.</w:t>
      </w:r>
      <w:r w:rsidRPr="00482405">
        <w:rPr>
          <w:rFonts w:ascii="Bookman Old Style" w:hAnsi="Bookman Old Style"/>
        </w:rPr>
        <w:br/>
        <w:t>Questa modulistica, implementata su sistema informativo, consentirà a tecnici e cittadini di selezionare e compilare solo le opzioni di proprio interesse, creando un percorso telematico guidato e personalizzato.</w:t>
      </w:r>
    </w:p>
    <w:p w:rsidR="004A206C" w:rsidRPr="00482405" w:rsidRDefault="004A206C" w:rsidP="004A206C">
      <w:pPr>
        <w:suppressAutoHyphens/>
        <w:spacing w:after="0" w:line="360" w:lineRule="auto"/>
        <w:jc w:val="both"/>
        <w:rPr>
          <w:rFonts w:ascii="Bookman Old Style" w:hAnsi="Bookman Old Style"/>
          <w:b/>
        </w:rPr>
      </w:pPr>
      <w:r w:rsidRPr="00482405">
        <w:rPr>
          <w:rFonts w:ascii="Bookman Old Style" w:hAnsi="Bookman Old Style"/>
          <w:b/>
        </w:rPr>
        <w:t>I moduli della CILA e  dell’Agibilità</w:t>
      </w:r>
    </w:p>
    <w:p w:rsidR="004A206C" w:rsidRPr="00482405" w:rsidRDefault="004A206C" w:rsidP="004A206C">
      <w:pPr>
        <w:suppressAutoHyphens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 xml:space="preserve">I modulo della CILA e quello dell’agibilità sono più snelli e raccolgono in un unico documento le  dichiarazioni del titolare, l’asseverazione del tecnico e la lista di controllo (quadro riepilogativo). </w:t>
      </w:r>
      <w:r w:rsidRPr="00482405">
        <w:rPr>
          <w:rFonts w:ascii="Bookman Old Style" w:hAnsi="Bookman Old Style"/>
        </w:rPr>
        <w:br/>
        <w:t xml:space="preserve">Se, contestualmente alla CILA, sono necessarie altre comunicazioni, segnalazioni o autorizzazioni, i tecnici potranno compilare gli appositi campi (utilizzando le informazioni contenute nella relazione della SCIA e nella relativa lista di controllo). </w:t>
      </w:r>
      <w:r w:rsidR="00E62719" w:rsidRPr="00482405">
        <w:rPr>
          <w:rFonts w:ascii="Bookman Old Style" w:hAnsi="Bookman Old Style"/>
        </w:rPr>
        <w:t xml:space="preserve">Si rammenta, inoltre, che l’art. 3 del d.lgs. n. 222 del 2016 ha </w:t>
      </w:r>
      <w:proofErr w:type="spellStart"/>
      <w:r w:rsidR="00510B10" w:rsidRPr="00482405">
        <w:rPr>
          <w:rFonts w:ascii="Bookman Old Style" w:hAnsi="Bookman Old Style"/>
        </w:rPr>
        <w:t>sostituito</w:t>
      </w:r>
      <w:r w:rsidR="00E62719" w:rsidRPr="00482405">
        <w:rPr>
          <w:rFonts w:ascii="Bookman Old Style" w:hAnsi="Bookman Old Style"/>
        </w:rPr>
        <w:t>l’art</w:t>
      </w:r>
      <w:proofErr w:type="spellEnd"/>
      <w:r w:rsidR="00E62719" w:rsidRPr="00482405">
        <w:rPr>
          <w:rFonts w:ascii="Bookman Old Style" w:hAnsi="Bookman Old Style"/>
        </w:rPr>
        <w:t xml:space="preserve">. 24 del </w:t>
      </w:r>
      <w:proofErr w:type="spellStart"/>
      <w:r w:rsidR="00E62719" w:rsidRPr="00482405">
        <w:rPr>
          <w:rFonts w:ascii="Bookman Old Style" w:hAnsi="Bookman Old Style"/>
        </w:rPr>
        <w:t>d.P.R.</w:t>
      </w:r>
      <w:proofErr w:type="spellEnd"/>
      <w:r w:rsidR="00E62719" w:rsidRPr="00482405">
        <w:rPr>
          <w:rFonts w:ascii="Bookman Old Style" w:hAnsi="Bookman Old Style"/>
        </w:rPr>
        <w:t xml:space="preserve"> n. 380 del 2001 sostituendo i preesistenti certificato di agibilità e asseverazione del tecnico con la SCIA.</w:t>
      </w:r>
    </w:p>
    <w:p w:rsidR="007E0FA9" w:rsidRDefault="007E0FA9" w:rsidP="004A206C">
      <w:pPr>
        <w:suppressAutoHyphens/>
        <w:spacing w:after="0" w:line="360" w:lineRule="auto"/>
        <w:jc w:val="both"/>
        <w:rPr>
          <w:rFonts w:ascii="Bookman Old Style" w:hAnsi="Bookman Old Style"/>
          <w:b/>
        </w:rPr>
      </w:pPr>
    </w:p>
    <w:p w:rsidR="007E0FA9" w:rsidRDefault="007E0FA9" w:rsidP="004A206C">
      <w:pPr>
        <w:suppressAutoHyphens/>
        <w:spacing w:after="0" w:line="360" w:lineRule="auto"/>
        <w:jc w:val="both"/>
        <w:rPr>
          <w:rFonts w:ascii="Bookman Old Style" w:hAnsi="Bookman Old Style"/>
          <w:b/>
        </w:rPr>
      </w:pPr>
    </w:p>
    <w:p w:rsidR="007E0FA9" w:rsidRDefault="007E0FA9" w:rsidP="004A206C">
      <w:pPr>
        <w:suppressAutoHyphens/>
        <w:spacing w:after="0" w:line="360" w:lineRule="auto"/>
        <w:jc w:val="both"/>
        <w:rPr>
          <w:rFonts w:ascii="Bookman Old Style" w:hAnsi="Bookman Old Style"/>
          <w:b/>
        </w:rPr>
      </w:pPr>
    </w:p>
    <w:p w:rsidR="007E0FA9" w:rsidRDefault="007E0FA9" w:rsidP="004A206C">
      <w:pPr>
        <w:suppressAutoHyphens/>
        <w:spacing w:after="0" w:line="360" w:lineRule="auto"/>
        <w:jc w:val="both"/>
        <w:rPr>
          <w:rFonts w:ascii="Bookman Old Style" w:hAnsi="Bookman Old Style"/>
          <w:b/>
        </w:rPr>
      </w:pPr>
    </w:p>
    <w:p w:rsidR="007E0FA9" w:rsidRDefault="007E0FA9" w:rsidP="004A206C">
      <w:pPr>
        <w:suppressAutoHyphens/>
        <w:spacing w:after="0" w:line="360" w:lineRule="auto"/>
        <w:jc w:val="both"/>
        <w:rPr>
          <w:rFonts w:ascii="Bookman Old Style" w:hAnsi="Bookman Old Style"/>
          <w:b/>
        </w:rPr>
      </w:pPr>
    </w:p>
    <w:p w:rsidR="004A206C" w:rsidRPr="00482405" w:rsidRDefault="004A206C" w:rsidP="004A206C">
      <w:pPr>
        <w:suppressAutoHyphens/>
        <w:spacing w:after="0" w:line="360" w:lineRule="auto"/>
        <w:jc w:val="both"/>
        <w:rPr>
          <w:rFonts w:ascii="Bookman Old Style" w:hAnsi="Bookman Old Style"/>
          <w:b/>
        </w:rPr>
      </w:pPr>
      <w:bookmarkStart w:id="0" w:name="_GoBack"/>
      <w:bookmarkEnd w:id="0"/>
      <w:r w:rsidRPr="00482405">
        <w:rPr>
          <w:rFonts w:ascii="Bookman Old Style" w:hAnsi="Bookman Old Style"/>
          <w:b/>
        </w:rPr>
        <w:t>Gli altri moduli</w:t>
      </w:r>
    </w:p>
    <w:p w:rsidR="004A206C" w:rsidRPr="00482405" w:rsidRDefault="004A206C" w:rsidP="004A206C">
      <w:pPr>
        <w:suppressAutoHyphens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Completano il quadro il modello della comunicazione di fine lavori e quello per l’ inizio lavori per le opere dirette a soddisfare obiettive esigenze contingenti e temporanee, che vanno rimosse entro 90 giorni.</w:t>
      </w:r>
    </w:p>
    <w:p w:rsidR="004A206C" w:rsidRPr="00482405" w:rsidRDefault="004A206C" w:rsidP="004A206C">
      <w:pPr>
        <w:suppressAutoHyphens/>
        <w:spacing w:after="0" w:line="360" w:lineRule="auto"/>
        <w:jc w:val="both"/>
        <w:rPr>
          <w:rFonts w:ascii="Bookman Old Style" w:hAnsi="Bookman Old Style"/>
          <w:b/>
        </w:rPr>
      </w:pPr>
      <w:r w:rsidRPr="00482405">
        <w:rPr>
          <w:rFonts w:ascii="Bookman Old Style" w:hAnsi="Bookman Old Style"/>
          <w:b/>
        </w:rPr>
        <w:t>L’allegato soggetti coinvolti</w:t>
      </w:r>
    </w:p>
    <w:p w:rsidR="004A206C" w:rsidRPr="00482405" w:rsidRDefault="004A206C" w:rsidP="004A206C">
      <w:pPr>
        <w:suppressAutoHyphens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Infine, vi è un allegato comune a CILA, SCIA e CIL per i “soggetti coinvolti” e cioè gli altri eventuali titolari (ad es. i comproprietari), il tecnico incaricato e il direttore dei lavori  ove previsti.</w:t>
      </w:r>
    </w:p>
    <w:p w:rsidR="004A206C" w:rsidRPr="00482405" w:rsidRDefault="004A206C" w:rsidP="004A206C">
      <w:pPr>
        <w:suppressAutoHyphens/>
        <w:spacing w:after="120" w:line="360" w:lineRule="auto"/>
        <w:jc w:val="both"/>
        <w:rPr>
          <w:rFonts w:ascii="Bookman Old Style" w:hAnsi="Bookman Old Style"/>
          <w:b/>
        </w:rPr>
      </w:pPr>
      <w:r w:rsidRPr="00482405">
        <w:rPr>
          <w:rFonts w:ascii="Bookman Old Style" w:hAnsi="Bookman Old Style"/>
          <w:b/>
        </w:rPr>
        <w:t>Le novità</w:t>
      </w:r>
    </w:p>
    <w:p w:rsidR="004A206C" w:rsidRPr="00482405" w:rsidRDefault="004A206C" w:rsidP="004A206C">
      <w:pPr>
        <w:suppressAutoHyphens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La modulistica per i titoli abilitativi edilizi, già adottata con precedenti accordi, viene adeguata alle novità introdotte dai decreti legislativi n. 126 e n. 222 del 2016. Viene inoltre adottata la modulistica per la SCIA ai fini dell’agibilità, che consentirà di eliminare i circa 150.000 certificati di agibilità che ogni anno sono rilasciati in Italia.</w:t>
      </w:r>
    </w:p>
    <w:p w:rsidR="004A206C" w:rsidRPr="00482405" w:rsidRDefault="004A206C" w:rsidP="004A206C">
      <w:pPr>
        <w:suppressAutoHyphens/>
        <w:spacing w:after="120" w:line="360" w:lineRule="auto"/>
        <w:jc w:val="both"/>
        <w:rPr>
          <w:rFonts w:ascii="Bookman Old Style" w:hAnsi="Bookman Old Style"/>
          <w:b/>
        </w:rPr>
      </w:pPr>
      <w:r w:rsidRPr="00482405">
        <w:rPr>
          <w:rFonts w:ascii="Bookman Old Style" w:hAnsi="Bookman Old Style"/>
          <w:b/>
        </w:rPr>
        <w:t>Tutto quello che non può più essere richiesto a cittadini e  imprese</w:t>
      </w:r>
    </w:p>
    <w:p w:rsidR="004A206C" w:rsidRPr="00482405" w:rsidRDefault="004A206C" w:rsidP="004A206C">
      <w:pPr>
        <w:pStyle w:val="Paragrafoelenco"/>
        <w:numPr>
          <w:ilvl w:val="0"/>
          <w:numId w:val="9"/>
        </w:numPr>
        <w:tabs>
          <w:tab w:val="left" w:pos="1418"/>
        </w:tabs>
        <w:spacing w:after="120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 xml:space="preserve">Non possono più essere richiesti certificati, atti e documenti che la pubblica amministrazione già possiede (per esempio i precedenti titoli abilitativi edilizi, gli atti di proprietà, la visura catastale e il DURC), ma solo gli elementi che consentano all’amministrazione di acquisirli o di effettuare i relativi controlli, anche a campione (articolo 18, legge n. 241 del 1990 (o art 43 del DPR 445 del 2000?). </w:t>
      </w:r>
    </w:p>
    <w:p w:rsidR="004A206C" w:rsidRPr="00482405" w:rsidRDefault="004A206C" w:rsidP="004A206C">
      <w:pPr>
        <w:pStyle w:val="Paragrafoelenco"/>
        <w:numPr>
          <w:ilvl w:val="0"/>
          <w:numId w:val="9"/>
        </w:numPr>
        <w:tabs>
          <w:tab w:val="left" w:pos="1418"/>
        </w:tabs>
        <w:spacing w:after="120"/>
        <w:jc w:val="both"/>
        <w:rPr>
          <w:rFonts w:ascii="Bookman Old Style" w:hAnsi="Bookman Old Style"/>
          <w:b/>
        </w:rPr>
      </w:pPr>
      <w:r w:rsidRPr="00482405">
        <w:rPr>
          <w:rFonts w:ascii="Bookman Old Style" w:hAnsi="Bookman Old Style"/>
        </w:rPr>
        <w:t xml:space="preserve">Non è più richiesta la presentazione delle autorizzazioni, segnalazioni e comunicazioni preliminari all’avvio dell’attività, ma esse vengono acquisite dallo sportello unico per le attività produttive (SUAP): è sufficiente presentare una domanda (CILA o SCIA più autorizzazioni) o le altre segnalazioni/comunicazioni in allegato alla SCIA unica (CILA e SCIA più altre segnalazioni o comunicazioni). In questo modo l’Italia si adegua al principio europeo secondo cui “l’amministrazione chiede una volta sola” (“Once </w:t>
      </w:r>
      <w:proofErr w:type="spellStart"/>
      <w:r w:rsidRPr="00482405">
        <w:rPr>
          <w:rFonts w:ascii="Bookman Old Style" w:hAnsi="Bookman Old Style"/>
        </w:rPr>
        <w:t>only</w:t>
      </w:r>
      <w:proofErr w:type="spellEnd"/>
      <w:r w:rsidRPr="00482405">
        <w:rPr>
          <w:rFonts w:ascii="Bookman Old Style" w:hAnsi="Bookman Old Style"/>
        </w:rPr>
        <w:t>”).</w:t>
      </w:r>
    </w:p>
    <w:p w:rsidR="004A206C" w:rsidRPr="00482405" w:rsidRDefault="004A206C" w:rsidP="004A206C">
      <w:pPr>
        <w:tabs>
          <w:tab w:val="left" w:pos="1418"/>
        </w:tabs>
        <w:spacing w:after="120"/>
        <w:jc w:val="both"/>
        <w:rPr>
          <w:rFonts w:ascii="Bookman Old Style" w:hAnsi="Bookman Old Style"/>
          <w:b/>
        </w:rPr>
      </w:pPr>
    </w:p>
    <w:p w:rsidR="00E62719" w:rsidRPr="00482405" w:rsidRDefault="00E62719" w:rsidP="00E62719">
      <w:pPr>
        <w:jc w:val="both"/>
        <w:rPr>
          <w:rFonts w:ascii="Bookman Old Style" w:hAnsi="Bookman Old Style"/>
          <w:b/>
        </w:rPr>
      </w:pPr>
      <w:r w:rsidRPr="00482405">
        <w:rPr>
          <w:rFonts w:ascii="Bookman Old Style" w:hAnsi="Bookman Old Style"/>
          <w:b/>
        </w:rPr>
        <w:t>Considerazioni finali</w:t>
      </w:r>
    </w:p>
    <w:p w:rsidR="00E62719" w:rsidRPr="00482405" w:rsidRDefault="00E62719" w:rsidP="00E62719">
      <w:pPr>
        <w:suppressAutoHyphens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 xml:space="preserve">L’articolo 2 del decreto legislativo  n. 126 del 2016 prevede specifici divieti e sanzioni. Si rammenta, infatti, che la mancata pubblicazione dei moduli e delle informazioni indicate entro il 30 giugno, costituisce illecito disciplinare punibile con la sospensione dal servizio con privazione della retribuzione da tre giorni a sei mesi (articolo 2, comma 5, decreto legislativo  n. 126 del 2016). </w:t>
      </w:r>
    </w:p>
    <w:p w:rsidR="00E62719" w:rsidRPr="00482405" w:rsidRDefault="00E62719" w:rsidP="00E62719">
      <w:pPr>
        <w:suppressAutoHyphens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È vietato, inoltre, chiedere ai cittadini e alle imprese documenti diversi da quelli indicati nella modulistica e pubblicati sul sito istituzionale. In particolare:</w:t>
      </w:r>
    </w:p>
    <w:p w:rsidR="00E62719" w:rsidRPr="00482405" w:rsidRDefault="00E62719" w:rsidP="00E62719">
      <w:pPr>
        <w:pStyle w:val="Paragrafoelenco"/>
        <w:numPr>
          <w:ilvl w:val="0"/>
          <w:numId w:val="7"/>
        </w:numPr>
        <w:suppressAutoHyphens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lastRenderedPageBreak/>
        <w:t>è vietata la richiesta di informazioni, documenti ulteriori, diversi o aggiuntivi, rispetto a quelli indicati nella modulistica unica standardizzata adottata con l’accordo del 4 maggio scorso o comunque pubblicati sul sito. Le richieste di integrazione documentale sono limitate ai soli casi in cui non vi sia corrispondenza tra il contenuto dell’istanza, della segnalazione, della comunicazione e quanto pubblicato sui siti istituzionali (articolo 2, comma 4, decreto legislativo n. 126 del 2016);</w:t>
      </w:r>
    </w:p>
    <w:p w:rsidR="00E62719" w:rsidRPr="00482405" w:rsidRDefault="00E62719" w:rsidP="00E62719">
      <w:pPr>
        <w:pStyle w:val="Paragrafoelenco"/>
        <w:numPr>
          <w:ilvl w:val="0"/>
          <w:numId w:val="7"/>
        </w:numPr>
        <w:suppressAutoHyphens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  <w:lang w:val="de-DE"/>
        </w:rPr>
        <w:t xml:space="preserve">è </w:t>
      </w:r>
      <w:r w:rsidRPr="00482405">
        <w:rPr>
          <w:rFonts w:ascii="Bookman Old Style" w:hAnsi="Bookman Old Style"/>
        </w:rPr>
        <w:t xml:space="preserve">vietato richiedere documenti o informazioni in possesso della stessa o di altre pubbliche amministrazioni (articolo 2, comma 4, decreto legislativo. n. 126 del 2016). </w:t>
      </w:r>
    </w:p>
    <w:p w:rsidR="004A206C" w:rsidRPr="00482405" w:rsidRDefault="00E62719" w:rsidP="004A206C">
      <w:pPr>
        <w:tabs>
          <w:tab w:val="left" w:pos="1418"/>
        </w:tabs>
        <w:spacing w:after="120"/>
        <w:jc w:val="both"/>
        <w:rPr>
          <w:rFonts w:ascii="Bookman Old Style" w:hAnsi="Bookman Old Style"/>
        </w:rPr>
      </w:pPr>
      <w:r w:rsidRPr="00482405">
        <w:rPr>
          <w:rFonts w:ascii="Bookman Old Style" w:hAnsi="Bookman Old Style"/>
        </w:rPr>
        <w:t>La richiesta di informazioni e documenti  non corrispondenti a quelli pubblicati sul sito istituzionale costituisce illecito disciplinare punibile con la sospensione dal servizio con privazione della retribuzione da tre giorni a sei mesi (art. 2 comma 5, decreto legislativo n. 126 del 2016).</w:t>
      </w:r>
    </w:p>
    <w:sectPr w:rsidR="004A206C" w:rsidRPr="00482405" w:rsidSect="006B0F53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B2A"/>
    <w:multiLevelType w:val="hybridMultilevel"/>
    <w:tmpl w:val="0890BB5A"/>
    <w:lvl w:ilvl="0" w:tplc="7A5C9B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11A7C"/>
    <w:multiLevelType w:val="hybridMultilevel"/>
    <w:tmpl w:val="F0B622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454D0"/>
    <w:multiLevelType w:val="hybridMultilevel"/>
    <w:tmpl w:val="FDFEC2C0"/>
    <w:lvl w:ilvl="0" w:tplc="7A5C9B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F1DF4"/>
    <w:multiLevelType w:val="hybridMultilevel"/>
    <w:tmpl w:val="92D68EE6"/>
    <w:lvl w:ilvl="0" w:tplc="7A5C9B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6027A"/>
    <w:multiLevelType w:val="hybridMultilevel"/>
    <w:tmpl w:val="D2E2A3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82156"/>
    <w:multiLevelType w:val="hybridMultilevel"/>
    <w:tmpl w:val="4C4672D4"/>
    <w:lvl w:ilvl="0" w:tplc="7A5C9B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63541"/>
    <w:multiLevelType w:val="hybridMultilevel"/>
    <w:tmpl w:val="83480B0C"/>
    <w:lvl w:ilvl="0" w:tplc="C4044A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838B7"/>
    <w:multiLevelType w:val="hybridMultilevel"/>
    <w:tmpl w:val="01161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B2E65"/>
    <w:multiLevelType w:val="hybridMultilevel"/>
    <w:tmpl w:val="16761258"/>
    <w:lvl w:ilvl="0" w:tplc="7A5C9B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E0FE5"/>
    <w:multiLevelType w:val="hybridMultilevel"/>
    <w:tmpl w:val="E50207EE"/>
    <w:lvl w:ilvl="0" w:tplc="7A5C9B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87D8D"/>
    <w:multiLevelType w:val="hybridMultilevel"/>
    <w:tmpl w:val="732003DA"/>
    <w:lvl w:ilvl="0" w:tplc="458C6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E12B3"/>
    <w:rsid w:val="000C3FDA"/>
    <w:rsid w:val="000D6442"/>
    <w:rsid w:val="00335320"/>
    <w:rsid w:val="00421278"/>
    <w:rsid w:val="00482405"/>
    <w:rsid w:val="004A206C"/>
    <w:rsid w:val="00510B10"/>
    <w:rsid w:val="00514035"/>
    <w:rsid w:val="005546D4"/>
    <w:rsid w:val="005810E2"/>
    <w:rsid w:val="005A5E3E"/>
    <w:rsid w:val="006A0CC9"/>
    <w:rsid w:val="006B0F53"/>
    <w:rsid w:val="007E0FA9"/>
    <w:rsid w:val="007E12B3"/>
    <w:rsid w:val="0083000E"/>
    <w:rsid w:val="00A127E2"/>
    <w:rsid w:val="00A37FC8"/>
    <w:rsid w:val="00BA4B06"/>
    <w:rsid w:val="00C94132"/>
    <w:rsid w:val="00CC4893"/>
    <w:rsid w:val="00E25711"/>
    <w:rsid w:val="00E62719"/>
    <w:rsid w:val="00F1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1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12B3"/>
    <w:rPr>
      <w:color w:val="0000FF"/>
      <w:u w:val="single"/>
    </w:rPr>
  </w:style>
  <w:style w:type="paragraph" w:customStyle="1" w:styleId="Elencoacolori-Colore11">
    <w:name w:val="Elenco a colori - Colore 11"/>
    <w:basedOn w:val="Normale"/>
    <w:qFormat/>
    <w:rsid w:val="007E12B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noProof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7E12B3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6B0F5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B0F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B0F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0F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0F5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F5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6A0C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12B3"/>
    <w:rPr>
      <w:color w:val="0000FF"/>
      <w:u w:val="single"/>
    </w:rPr>
  </w:style>
  <w:style w:type="paragraph" w:customStyle="1" w:styleId="Elencoacolori-Colore11">
    <w:name w:val="Elenco a colori - Colore 11"/>
    <w:basedOn w:val="Normale"/>
    <w:qFormat/>
    <w:rsid w:val="007E12B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noProof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7E12B3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6B0F5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B0F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B0F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0F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0F5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mpresaingior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Angeletti Marialaura</dc:creator>
  <cp:lastModifiedBy>m.perpignani</cp:lastModifiedBy>
  <cp:revision>6</cp:revision>
  <cp:lastPrinted>2017-05-16T09:20:00Z</cp:lastPrinted>
  <dcterms:created xsi:type="dcterms:W3CDTF">2017-05-16T09:23:00Z</dcterms:created>
  <dcterms:modified xsi:type="dcterms:W3CDTF">2017-05-23T13:39:00Z</dcterms:modified>
</cp:coreProperties>
</file>